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656E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Billing Code 4310</w:t>
      </w:r>
      <w:r>
        <w:rPr>
          <w:rFonts w:ascii="Times New Roman" w:hAnsi="Times New Roman" w:cs="Times New Roman"/>
          <w:color w:val="auto"/>
          <w:sz w:val="24"/>
          <w:szCs w:val="24"/>
        </w:rPr>
        <w:noBreakHyphen/>
        <w:t>55-P</w:t>
      </w: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PRIVATE </w:instrText>
      </w:r>
      <w:r>
        <w:rPr>
          <w:rFonts w:ascii="Times New Roman" w:hAnsi="Times New Roman" w:cs="Times New Roman"/>
          <w:color w:val="auto"/>
          <w:sz w:val="24"/>
          <w:szCs w:val="24"/>
        </w:rPr>
      </w:r>
      <w:r>
        <w:rPr>
          <w:rFonts w:ascii="Times New Roman" w:hAnsi="Times New Roman" w:cs="Times New Roman"/>
          <w:color w:val="auto"/>
          <w:sz w:val="24"/>
          <w:szCs w:val="24"/>
        </w:rPr>
        <w:fldChar w:fldCharType="end"/>
      </w:r>
    </w:p>
    <w:p w14:paraId="13E1801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CFAC7F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r>
        <w:rPr>
          <w:rFonts w:ascii="Times New Roman" w:hAnsi="Times New Roman" w:cs="Times New Roman"/>
          <w:b/>
          <w:bCs/>
          <w:color w:val="auto"/>
          <w:sz w:val="24"/>
          <w:szCs w:val="24"/>
        </w:rPr>
        <w:t>DEPARTMENT OF THE INTERIOR</w:t>
      </w:r>
    </w:p>
    <w:p w14:paraId="4BD663F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7AC6B42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r>
        <w:rPr>
          <w:rFonts w:ascii="Times New Roman" w:hAnsi="Times New Roman" w:cs="Times New Roman"/>
          <w:b/>
          <w:bCs/>
          <w:color w:val="auto"/>
          <w:sz w:val="24"/>
          <w:szCs w:val="24"/>
        </w:rPr>
        <w:t>Fish and Wildlife Service</w:t>
      </w:r>
    </w:p>
    <w:p w14:paraId="33FA34C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20C8876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r>
        <w:rPr>
          <w:rFonts w:ascii="Times New Roman" w:hAnsi="Times New Roman" w:cs="Times New Roman"/>
          <w:b/>
          <w:bCs/>
          <w:color w:val="auto"/>
          <w:sz w:val="24"/>
          <w:szCs w:val="24"/>
        </w:rPr>
        <w:t>50 CFR Part 17</w:t>
      </w:r>
    </w:p>
    <w:p w14:paraId="47FF0F3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1EF8D0C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RIN 1018</w:t>
      </w:r>
      <w:r>
        <w:rPr>
          <w:rFonts w:ascii="Times New Roman" w:hAnsi="Times New Roman" w:cs="Times New Roman"/>
          <w:b/>
          <w:bCs/>
          <w:color w:val="auto"/>
          <w:sz w:val="24"/>
          <w:szCs w:val="24"/>
        </w:rPr>
        <w:noBreakHyphen/>
        <w:t>AE00</w:t>
      </w:r>
    </w:p>
    <w:p w14:paraId="4A6D796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4D6E62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Endangered and Threatened Wildlife and Plants:  Establishment of a Nonessential Experimental Population of Grizzly Bears in the Bitterroot Area of Idaho and Montana</w:t>
      </w:r>
    </w:p>
    <w:p w14:paraId="2347D3B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592B94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AGENCY:</w:t>
      </w:r>
      <w:r>
        <w:rPr>
          <w:rFonts w:ascii="Times New Roman" w:hAnsi="Times New Roman" w:cs="Times New Roman"/>
          <w:color w:val="auto"/>
          <w:sz w:val="24"/>
          <w:szCs w:val="24"/>
        </w:rPr>
        <w:t xml:space="preserve">  Fish and Wildlife Service, Interior.</w:t>
      </w:r>
    </w:p>
    <w:p w14:paraId="38DA947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47D56A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ACTION:</w:t>
      </w:r>
      <w:r>
        <w:rPr>
          <w:rFonts w:ascii="Times New Roman" w:hAnsi="Times New Roman" w:cs="Times New Roman"/>
          <w:color w:val="auto"/>
          <w:sz w:val="24"/>
          <w:szCs w:val="24"/>
        </w:rPr>
        <w:t xml:space="preserve">  Final rule.</w:t>
      </w:r>
    </w:p>
    <w:p w14:paraId="4771B62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065070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SUMMARY:</w:t>
      </w:r>
      <w:r>
        <w:rPr>
          <w:rFonts w:ascii="Times New Roman" w:hAnsi="Times New Roman" w:cs="Times New Roman"/>
          <w:color w:val="auto"/>
          <w:sz w:val="24"/>
          <w:szCs w:val="24"/>
        </w:rPr>
        <w:t xml:space="preserve"> We, the Fish and Wildlife Service (Service) intend to restore the grizzly bear (</w:t>
      </w:r>
      <w:r>
        <w:rPr>
          <w:rFonts w:ascii="Times New Roman" w:hAnsi="Times New Roman" w:cs="Times New Roman"/>
          <w:color w:val="auto"/>
          <w:sz w:val="24"/>
          <w:szCs w:val="24"/>
          <w:u w:val="single"/>
        </w:rPr>
        <w:t>Ursus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arctos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horribilis</w:t>
      </w:r>
      <w:r>
        <w:rPr>
          <w:rFonts w:ascii="Times New Roman" w:hAnsi="Times New Roman" w:cs="Times New Roman"/>
          <w:color w:val="auto"/>
          <w:sz w:val="24"/>
          <w:szCs w:val="24"/>
        </w:rPr>
        <w:t>), a threatened species, into east</w:t>
      </w:r>
      <w:r>
        <w:rPr>
          <w:rFonts w:ascii="Times New Roman" w:hAnsi="Times New Roman" w:cs="Times New Roman"/>
          <w:color w:val="auto"/>
          <w:sz w:val="24"/>
          <w:szCs w:val="24"/>
        </w:rPr>
        <w:noBreakHyphen/>
        <w:t xml:space="preserve">central Idaho and a portion of western Montana.  We are designating grizzly bears to be reintroduced into the area described in this rule as a nonessential experimental population pursuant to section 10(j) of the Endangered Species Act of 1973, as amended.  Grizzly bear populations have been extirpated from most of the lower 48 United States.  They presently occur in populations in the Selkirk-Cabinet/Yaak Ecosystem in north Idaho, northeastern Washington, and northwestern Montana, the North Cascades Ecosystem in northwestern </w:t>
      </w:r>
      <w:r>
        <w:rPr>
          <w:rFonts w:ascii="Times New Roman" w:hAnsi="Times New Roman" w:cs="Times New Roman"/>
          <w:color w:val="auto"/>
          <w:sz w:val="24"/>
          <w:szCs w:val="24"/>
        </w:rPr>
        <w:lastRenderedPageBreak/>
        <w:t>Washington, the Northern Continental Divide Ecosystem in Montana, and the Yellowstone Ecosystem in Montana, Wyoming, and Idaho.  The purpose of this reintroduction is to re-establish a viable grizzly bear population in the Bitterroot Ecosystem in east</w:t>
      </w:r>
      <w:r>
        <w:rPr>
          <w:rFonts w:ascii="Times New Roman" w:hAnsi="Times New Roman" w:cs="Times New Roman"/>
          <w:color w:val="auto"/>
          <w:sz w:val="24"/>
          <w:szCs w:val="24"/>
        </w:rPr>
        <w:noBreakHyphen/>
        <w:t>central Idaho and adjacent areas of Montana, one of five grizzly recovery areas identified in the Grizzly Bear Recovery Plan.  We evaluated potential effects of this final rule in the "Final Environmental Impact Statement on Grizzly Bear Recovery in the Bitterroot Ecosystem.”  This grizzly bear reintroduction does not conflict with existing or anticipated Federal agency actions or traditional public uses of wilderness areas or surrounding lands.</w:t>
      </w:r>
    </w:p>
    <w:p w14:paraId="6ECC493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sectPr w:rsidR="00B60579">
          <w:footerReference w:type="default" r:id="rId7"/>
          <w:pgSz w:w="12240" w:h="15840"/>
          <w:pgMar w:top="1440" w:right="1440" w:bottom="1440" w:left="2160" w:header="1440" w:footer="1440" w:gutter="0"/>
          <w:pgNumType w:start="1"/>
          <w:cols w:space="720"/>
          <w:noEndnote/>
        </w:sectPr>
      </w:pPr>
    </w:p>
    <w:p w14:paraId="2E22F9B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ED19BE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u w:val="single"/>
        </w:rPr>
      </w:pPr>
      <w:r>
        <w:rPr>
          <w:rFonts w:ascii="Times New Roman" w:hAnsi="Times New Roman" w:cs="Times New Roman"/>
          <w:b/>
          <w:bCs/>
          <w:color w:val="auto"/>
          <w:sz w:val="24"/>
          <w:szCs w:val="24"/>
        </w:rPr>
        <w:t>EFFECTIVE DATE:</w:t>
      </w:r>
      <w:r>
        <w:rPr>
          <w:rFonts w:ascii="Times New Roman" w:hAnsi="Times New Roman" w:cs="Times New Roman"/>
          <w:color w:val="auto"/>
          <w:sz w:val="24"/>
          <w:szCs w:val="24"/>
        </w:rPr>
        <w:t xml:space="preserve">   This rule is effective [Insert date 30 days from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publication].</w:t>
      </w:r>
    </w:p>
    <w:p w14:paraId="1A567A8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2A875A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ADDRESSES:</w:t>
      </w:r>
      <w:r>
        <w:rPr>
          <w:rFonts w:ascii="Times New Roman" w:hAnsi="Times New Roman" w:cs="Times New Roman"/>
          <w:color w:val="auto"/>
          <w:sz w:val="24"/>
          <w:szCs w:val="24"/>
        </w:rPr>
        <w:t xml:space="preserve"> Send correspondence concerning this rule to Grizzly Bear Recovery Coordinator, U.S. Fish and Wildlife Service, University Hall, Room 309, University of Montana, Missoula, Montana 59812.  The complete file for this final rule is available for inspection, by appointment during normal business hours, at the above address.</w:t>
      </w:r>
    </w:p>
    <w:p w14:paraId="13B72A6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4E20F2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FOR FURTHER INFORMATION CONTACT:</w:t>
      </w:r>
      <w:r>
        <w:rPr>
          <w:rFonts w:ascii="Times New Roman" w:hAnsi="Times New Roman" w:cs="Times New Roman"/>
          <w:color w:val="auto"/>
          <w:sz w:val="24"/>
          <w:szCs w:val="24"/>
        </w:rPr>
        <w:t xml:space="preserve">  Dr. Christopher Servheen, at the above address, or telephone (406) 243-4903.</w:t>
      </w:r>
    </w:p>
    <w:p w14:paraId="1F6D21D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8B71B2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6398906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6EE8FAA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SUPPLEMENTARY INFORMATION:</w:t>
      </w:r>
    </w:p>
    <w:p w14:paraId="7AE5228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r>
        <w:rPr>
          <w:rFonts w:ascii="Times New Roman" w:hAnsi="Times New Roman" w:cs="Times New Roman"/>
          <w:b/>
          <w:bCs/>
          <w:color w:val="auto"/>
          <w:sz w:val="24"/>
          <w:szCs w:val="24"/>
        </w:rPr>
        <w:t>Background</w:t>
      </w:r>
    </w:p>
    <w:p w14:paraId="436A55B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t xml:space="preserve">1. </w:t>
      </w:r>
      <w:r>
        <w:rPr>
          <w:rFonts w:ascii="Times New Roman" w:hAnsi="Times New Roman" w:cs="Times New Roman"/>
          <w:color w:val="auto"/>
          <w:sz w:val="24"/>
          <w:szCs w:val="24"/>
          <w:u w:val="single"/>
        </w:rPr>
        <w:t>Legislative</w:t>
      </w:r>
      <w:r>
        <w:rPr>
          <w:rFonts w:ascii="Times New Roman" w:hAnsi="Times New Roman" w:cs="Times New Roman"/>
          <w:color w:val="auto"/>
          <w:sz w:val="24"/>
          <w:szCs w:val="24"/>
        </w:rPr>
        <w:t>:</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The Endangered Species Act Amendments of 1982, Public Law 97</w:t>
      </w:r>
      <w:r>
        <w:rPr>
          <w:rFonts w:ascii="Times New Roman" w:hAnsi="Times New Roman" w:cs="Times New Roman"/>
          <w:color w:val="auto"/>
          <w:sz w:val="24"/>
          <w:szCs w:val="24"/>
        </w:rPr>
        <w:noBreakHyphen/>
        <w:t>304, made significant changes to the Endangered Species Act (Act) of 1973 as amended (16 U.S.C. 1531-1540), including the creation of section 10(j) which provides for the designation of specific populations of listed species as "experimental populations."  Previous authorities in the Act permitted us to reintroduce a listed species for conservation and recovery purposes.  However, local opposition to reintroduction efforts from parties concerned about potential restrictions, and prohibitions on Federal and private activities contained in sections 7 and 9 of the Act, reduced the effectiveness of reintroduction as a conservation and recovery tool.</w:t>
      </w:r>
    </w:p>
    <w:p w14:paraId="6166D14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0785AE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Under section 10(j), the Secretary can designate reintroduced populations established outside the species current range but within its historical range as “experimental.”   Reintroduction of the experimental populations must further the conservation of the listed species.   An experimental population must be separate geographically from nonexperimental populations of the same species.  Designation of a population as experimental increases our flexibility and discretion in managing reintroduced listed species.</w:t>
      </w:r>
    </w:p>
    <w:p w14:paraId="64451BC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A47676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Secretary can so designate populations under section 10(j) of the Act, and based on the best available information, must determine whether such populations are essential, or nonessential, to the continued existence of the species.  Regulatory restrictions may be considerably reduced under a nonessential experimental population (NEP) designation, which is defined as being nonessential to the recovery of the species.  For the purposes of section 7 of the Act, we treat nonessential experimental populations as if they are species proposed for listing when they are located outside of the National </w:t>
      </w:r>
      <w:r>
        <w:rPr>
          <w:rFonts w:ascii="Times New Roman" w:hAnsi="Times New Roman" w:cs="Times New Roman"/>
          <w:color w:val="auto"/>
          <w:sz w:val="24"/>
          <w:szCs w:val="24"/>
        </w:rPr>
        <w:lastRenderedPageBreak/>
        <w:t>Wildlife Refuge System or National Park System.  If a NEP is located within such a refuge or park  it is treated as if it is listed as a threatened species.  Section 7 provisions for Federal agency coordination have limited application to experimental populations found outside such refuges and parks.  The two provisions that apply are: (1) section 7(a)(1) - which requires all Federal agencies to use their authority to conserve listed species; and (2) section 7(a)(4) - which requires Federal agencies to confer with the Service on actions that are likely to jeopardize the continued existence of a proposed species throughout its range.  Section 7 of the Act does not affect ivities undertaken on private lands unless they are authorized, funded, or carried out by a Federal agency.</w:t>
      </w:r>
    </w:p>
    <w:p w14:paraId="30579B0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BE38B5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Individual animals used in establishing an experimental population can be obtained from a source population if their removal is not likely to jeopardize the continued existence of the species, and a permit has been issued in accordance with 50 CFR part 17.22 prior to their removal. </w:t>
      </w:r>
    </w:p>
    <w:p w14:paraId="5364CDF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D3D416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grizzly bear was listed as a threatened species in the lower 48 States under theAct in 1975 (40 FR 3173).</w:t>
      </w:r>
    </w:p>
    <w:p w14:paraId="12032F1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F3245F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66B21E6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2. </w:t>
      </w:r>
      <w:r>
        <w:rPr>
          <w:rFonts w:ascii="Times New Roman" w:hAnsi="Times New Roman" w:cs="Times New Roman"/>
          <w:color w:val="auto"/>
          <w:sz w:val="24"/>
          <w:szCs w:val="24"/>
          <w:u w:val="single"/>
        </w:rPr>
        <w:t>Biological</w:t>
      </w:r>
      <w:r>
        <w:rPr>
          <w:rFonts w:ascii="Times New Roman" w:hAnsi="Times New Roman" w:cs="Times New Roman"/>
          <w:color w:val="auto"/>
          <w:sz w:val="24"/>
          <w:szCs w:val="24"/>
        </w:rPr>
        <w:t>:</w:t>
      </w:r>
      <w:r>
        <w:rPr>
          <w:rFonts w:ascii="Times New Roman" w:hAnsi="Times New Roman" w:cs="Times New Roman"/>
          <w:color w:val="auto"/>
          <w:sz w:val="24"/>
          <w:szCs w:val="24"/>
        </w:rPr>
        <w:tab/>
        <w:t>This final experimental population rule addresses the grizzly bear, a threatened species that once ranged throughout most of western North America.  An estimated 50,000 grizzly bears roamed the American West prior to European settlement (U.S. Fish and Wildlife Service 1993).  However, distribution and population levels of this species have been diminished by excessive human</w:t>
      </w:r>
      <w:r>
        <w:rPr>
          <w:rFonts w:ascii="Times New Roman" w:hAnsi="Times New Roman" w:cs="Times New Roman"/>
          <w:color w:val="auto"/>
          <w:sz w:val="24"/>
          <w:szCs w:val="24"/>
        </w:rPr>
        <w:noBreakHyphen/>
        <w:t xml:space="preserve">caused mortality and loss of habitat.  Today, only 800--1,000 grizzly bears remain in a few isolated populations in </w:t>
      </w:r>
      <w:r>
        <w:rPr>
          <w:rFonts w:ascii="Times New Roman" w:hAnsi="Times New Roman" w:cs="Times New Roman"/>
          <w:color w:val="auto"/>
          <w:sz w:val="24"/>
          <w:szCs w:val="24"/>
        </w:rPr>
        <w:lastRenderedPageBreak/>
        <w:t>Montana, Idaho, Wyoming, and Washington, which represents approximately 2 percent of their historic range in the lower 48 States (U.S. Fish and Wildlife Service 1993).</w:t>
      </w:r>
    </w:p>
    <w:p w14:paraId="5A45CFF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348933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natural history of grizzly bears and their ecological role was poorly understood during the period of their eradication in the conterminous United States.  As with other large predators, grizzly bears were considered a nuisance and threat to humans.  Today, the grizzly bear's role as an important and necessary part of natural ecosystems is better understood and appreciated.</w:t>
      </w:r>
    </w:p>
    <w:p w14:paraId="5245A12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444BAD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grizzly bear was a widespread inhabitant of the Bitterroot Mountains in east</w:t>
      </w:r>
      <w:r>
        <w:rPr>
          <w:rFonts w:ascii="Times New Roman" w:hAnsi="Times New Roman" w:cs="Times New Roman"/>
          <w:color w:val="auto"/>
          <w:sz w:val="24"/>
          <w:szCs w:val="24"/>
        </w:rPr>
        <w:noBreakHyphen/>
        <w:t>central Idaho and western Montana.  Historic grizzly bear range includes national forest lands within and surrounding the Selway</w:t>
      </w:r>
      <w:r>
        <w:rPr>
          <w:rFonts w:ascii="Times New Roman" w:hAnsi="Times New Roman" w:cs="Times New Roman"/>
          <w:color w:val="auto"/>
          <w:sz w:val="24"/>
          <w:szCs w:val="24"/>
        </w:rPr>
        <w:noBreakHyphen/>
        <w:t>Bitterroot Wilderness Area and Frank Church</w:t>
      </w:r>
      <w:r>
        <w:rPr>
          <w:rFonts w:ascii="Times New Roman" w:hAnsi="Times New Roman" w:cs="Times New Roman"/>
          <w:color w:val="auto"/>
          <w:sz w:val="24"/>
          <w:szCs w:val="24"/>
        </w:rPr>
        <w:noBreakHyphen/>
        <w:t>River of No Return Wilderness Area on both sides of the Salmon River.  The demise of the grizzly from the Bitterroot Ecosystem was due to the actions of humans.  Bears were actively killed for their fur, for sport, and to eliminate possible threats to humans and domestic livestock.  The last verified death of a grizzly bear in the Bitterroot Mountains occurred in 1932 and the last tracks were observed in 1946 (Moore 1984, 1996).  Although occasional unverified reports of grizzly sightings persist in the Ecosystem (Melquist 1985), no verified tracks or sightings have been documented in more than 50 years, and currently there is no evidence of any grizzly bears in the Bitterroot Ecosystem (Melquist 1998).</w:t>
      </w:r>
    </w:p>
    <w:p w14:paraId="6BC0001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3FCFC76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Recovery Efforts</w:t>
      </w:r>
    </w:p>
    <w:p w14:paraId="2122511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C8D33B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 The re-establishment of a grizzly bear population in the Bitterroot Ecosystem </w:t>
      </w:r>
      <w:r>
        <w:rPr>
          <w:rFonts w:ascii="Times New Roman" w:hAnsi="Times New Roman" w:cs="Times New Roman"/>
          <w:color w:val="auto"/>
          <w:sz w:val="24"/>
          <w:szCs w:val="24"/>
        </w:rPr>
        <w:lastRenderedPageBreak/>
        <w:t>will increase the survival probabilities and further the conservation of the species in the lower 48 States.  If the experimental population is lost, it will not diminish the survival probabilities for bears in other ecosystems.  However, if the experimental population is successful it will enhance grizzly bear survival and conservation over the long term by providing an additional population and thus adding a measure of security for the species.</w:t>
      </w:r>
    </w:p>
    <w:p w14:paraId="10070B2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9442FD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Grizzly Bear Recovery Plan, finalized in 1982 (U.S. Fish and Wildlife Service 1982), called for the evaluation of the Selway</w:t>
      </w:r>
      <w:r>
        <w:rPr>
          <w:rFonts w:ascii="Times New Roman" w:hAnsi="Times New Roman" w:cs="Times New Roman"/>
          <w:color w:val="auto"/>
          <w:sz w:val="24"/>
          <w:szCs w:val="24"/>
        </w:rPr>
        <w:noBreakHyphen/>
        <w:t>Bitterroot Ecosystem as a potential recovery area.  An interagency team of grizzly bear scientists concluded the area provided suitable habitat and could support 200-400 grizzly bears (Servheen et al. 1991).  In 1991, the Interagency Grizzly Bear Committee subsequently endorsed the Bitterroot Ecosystem as a grizzly bear recovery area, and requested that we initiate measures to achieve recovery in the area.</w:t>
      </w:r>
    </w:p>
    <w:p w14:paraId="47ECF07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7D14A6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In 1992, we organized a Technical Working Group to develop a Bitterroot Ecosystem chapter to append to the Grizzly Bear Recovery Plan.  This interagency group of biologists worked with a citizens' involvement group comprised of local residents and agency personnel to draft a recovery plan chapter.  Public comments, including those from local communities in central Idaho and western Montana, were integrated into the final chapter.  We revised the Grizzly Bear Recovery Plan in 1993 (U.S. Fish and Wildlife Service 1993) and later produced the Bitterroot Ecosystem Recovery Plan Chapter (Chapter) as an appendix (U.S. Fish and Wildlife Service 1996).  This Chapter called for the reintroduction of a small number of grizzly bears into the Bitterroot Ecosystem as an experimental, nonessential population under section 10(j) of the  Act and the preparation of a special rule and an Environmental Impact Statement </w:t>
      </w:r>
      <w:r>
        <w:rPr>
          <w:rFonts w:ascii="Times New Roman" w:hAnsi="Times New Roman" w:cs="Times New Roman"/>
          <w:color w:val="auto"/>
          <w:sz w:val="24"/>
          <w:szCs w:val="24"/>
        </w:rPr>
        <w:lastRenderedPageBreak/>
        <w:t>(EIS) on this proposal.  By establishing a nonessential experimental population, more flexible management practices may be implemented to address potential negative impacts or concerns regarding the recovery.  The Chapter identified a tentative long</w:t>
      </w:r>
      <w:r>
        <w:rPr>
          <w:rFonts w:ascii="Times New Roman" w:hAnsi="Times New Roman" w:cs="Times New Roman"/>
          <w:color w:val="auto"/>
          <w:sz w:val="24"/>
          <w:szCs w:val="24"/>
        </w:rPr>
        <w:noBreakHyphen/>
        <w:t>term recovery objective of approximately 280 grizzly bears for the Bitterroot Ecosystem.</w:t>
      </w:r>
    </w:p>
    <w:p w14:paraId="632087C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20654E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Planning for the recovery of grizzly bears into the Bitterroot Ecosystem of east</w:t>
      </w:r>
      <w:r>
        <w:rPr>
          <w:rFonts w:ascii="Times New Roman" w:hAnsi="Times New Roman" w:cs="Times New Roman"/>
          <w:color w:val="auto"/>
          <w:sz w:val="24"/>
          <w:szCs w:val="24"/>
        </w:rPr>
        <w:noBreakHyphen/>
        <w:t>central Idaho and western Montana was initiated in 1993, when the agencies of the Interagency Grizzly Bear Committee requested that an EIS be prepared.  We then formed and funded an interagency team to prepare the EIS in 1995.  The team included our specialists and those from the Forest Service, Idaho Department of Fish and Game, Montana Department of Fish, Wildlife and Parks, and the Nez Perce Tribe.  The Grizzly Bear EIS program for the Bitterroot Ecosystem emphasized public participation from the outset.</w:t>
      </w:r>
    </w:p>
    <w:p w14:paraId="77F514A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0268E4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We developed a public participation and interagency coordination program to identify issues and alternatives to be considered in the EIS process.  We published a Notice of Intent (NOI) concerning grizzly bear recovery in the Bitterroot Ecosystem in the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on January 9, 1995 (60 FR 2399).  The notice was furnished as required by National Environmental Policy Act (NEPA) regulations (40 CFR 1501.7) to obtain input from other agencies and the public on the scope of issues to be addressed in the EIS.  This NOI asked the public to identify issues that should be addressed in the Draft EIS.  A few days earlier we issued a news release announcing the beginning of the NEPA process and the start of an EIS on grizzly bear recovery to the Bitterroot Ecosystem.</w:t>
      </w:r>
    </w:p>
    <w:p w14:paraId="322E2A5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01C1E6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t xml:space="preserve">Eight preliminary issues were identified in March 1995 from scoping meetings for the Chapter and the NOI to prepare an EIS.  Three preliminary alternatives also were identified and published in a Scoping of Issues and Alternatives brochure which was mailed to 1,100 people and distributed at 7 open houses.  The brochure gave background information, described the purpose and need of the proposed action, listed preliminary issues and alternatives, and explained how to become involved in the EIS process.  We asked interested parties to identify relevant issues and alternatives related to grizzly bear reintroduction into the Bitterroot Ecosystem for the analysis.  On June 5, 1995, a notice was published in the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initiating the formal scoping process with a 45</w:t>
      </w:r>
      <w:r>
        <w:rPr>
          <w:rFonts w:ascii="Times New Roman" w:hAnsi="Times New Roman" w:cs="Times New Roman"/>
          <w:color w:val="auto"/>
          <w:sz w:val="24"/>
          <w:szCs w:val="24"/>
        </w:rPr>
        <w:noBreakHyphen/>
        <w:t>day comment period (60 FR 29708).  We sent a news release to the print, radio, and television media in western Montana and Idaho on June 26, 1995, announcing the dates and locations for public open houses.  We initiated public scoping of issues by mailing a brochure detailing the EIS process.</w:t>
      </w:r>
    </w:p>
    <w:p w14:paraId="41C84A5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BD8A00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From July 5</w:t>
      </w:r>
      <w:r>
        <w:rPr>
          <w:rFonts w:ascii="Times New Roman" w:hAnsi="Times New Roman" w:cs="Times New Roman"/>
          <w:color w:val="auto"/>
          <w:sz w:val="24"/>
          <w:szCs w:val="24"/>
        </w:rPr>
        <w:noBreakHyphen/>
        <w:t>11, 1995, we held seven public scoping sessions in the form of open houses in Grangeville, Orofino, and Boise, Idaho; Missoula, Helena, and Hamilton, Montana; and in Salt Lake City, Utah.  At the open houses, people could watch a 5</w:t>
      </w:r>
      <w:r>
        <w:rPr>
          <w:rFonts w:ascii="Times New Roman" w:hAnsi="Times New Roman" w:cs="Times New Roman"/>
          <w:color w:val="auto"/>
          <w:sz w:val="24"/>
          <w:szCs w:val="24"/>
        </w:rPr>
        <w:noBreakHyphen/>
        <w:t>minute introductory video about the proposed action of reintroducing a nonessential experimental population and our representatives as well as those of the Forest Service, and State fish and wildlife agencies were available to discuss grizzly bears, their recovery, and the EIS process.  Those attending the open houses received copies of the issue and alternative scoping brochure and the question</w:t>
      </w:r>
      <w:r>
        <w:rPr>
          <w:rFonts w:ascii="Times New Roman" w:hAnsi="Times New Roman" w:cs="Times New Roman"/>
          <w:color w:val="auto"/>
          <w:sz w:val="24"/>
          <w:szCs w:val="24"/>
        </w:rPr>
        <w:noBreakHyphen/>
        <w:t>and</w:t>
      </w:r>
      <w:r>
        <w:rPr>
          <w:rFonts w:ascii="Times New Roman" w:hAnsi="Times New Roman" w:cs="Times New Roman"/>
          <w:color w:val="auto"/>
          <w:sz w:val="24"/>
          <w:szCs w:val="24"/>
        </w:rPr>
        <w:noBreakHyphen/>
        <w:t xml:space="preserve">answer booklet.  We encouraged them to leave written comments with agency personnel or mail their comments later.  Verbal comments or questions were also heard and responded to by the agency representatives, but verbal testimony was not formally recorded.  More than 300 </w:t>
      </w:r>
      <w:r>
        <w:rPr>
          <w:rFonts w:ascii="Times New Roman" w:hAnsi="Times New Roman" w:cs="Times New Roman"/>
          <w:color w:val="auto"/>
          <w:sz w:val="24"/>
          <w:szCs w:val="24"/>
        </w:rPr>
        <w:lastRenderedPageBreak/>
        <w:t>people attended these scoping sessions and offered comments on the proposal, the preliminary issues, and alternatives, and voiced their opinions on grizzly bears and reintroduction.  We extended the scoping comment period for 30 days (from July 20 to August 21, 1995).  On July 25 we provided a press release to local and national media to announce the extension.  This extension was requested by numerous public interests with varied opinions on this complex topic.</w:t>
      </w:r>
    </w:p>
    <w:p w14:paraId="008118A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39A55F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We solicited written public comments on issues and alternatives at the open houses and through the media.  In response we received more than 3,300 written comments from individuals, organizations, and government agencies.  These comments arrived in over 565 letters, open house meeting notes, 6 petitions, and 6 form letters or postcards.  Strong polarization of concerns regarding grizzly bear management typified the public comments.  Approximately 80 percent of written responses were from residents of counties in Montana and Idaho adjacent to the proposed reintroduction area.  Major concerns raised included public safety, impacts of grizzly bears on existing land uses, travel corridors and linkages, nuisance bears and their control, and depredation by bears on domestic livestock and native ungulates.</w:t>
      </w:r>
    </w:p>
    <w:p w14:paraId="02DFD1A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F7A9D4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We continued public involvement and outreach activities in 1995 and began to prepare the EIS.  The Bitterroot Ecosystem Chapter - Supplement to the Grizzly Bear Recovery Plan was finalized and signed on September 11, 1996.  The EIS Team continued to follow the National Environmental Policy Act process to prepare the Draft EIS.  The team completed the Draft EIS in August, 1996, and released it to us and then to agency partners for internal review and comment.  Comments were incorporated, and we reviewed the final draft in February 1997.  We incorporated comments from the final </w:t>
      </w:r>
      <w:r>
        <w:rPr>
          <w:rFonts w:ascii="Times New Roman" w:hAnsi="Times New Roman" w:cs="Times New Roman"/>
          <w:color w:val="auto"/>
          <w:sz w:val="24"/>
          <w:szCs w:val="24"/>
        </w:rPr>
        <w:lastRenderedPageBreak/>
        <w:t>review and the Draft EIS completed in June 1997 (U.S. Fish and Wildlife Service 1997).</w:t>
      </w:r>
    </w:p>
    <w:p w14:paraId="7DEF992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BD4975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We released the Draft EIS and proposed special rule for public review and comment on July 1, 1997.  The proposed rule, “Proposed Establishment of a Nonessential Experimental Population of Grizzly Bears in the Bitterroot Area of Idaho and Montana” was then published in the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on July 2, 1997 (62 FR 35762) (U.S. Fish and Wildlife Service 1997a).  Comments were accepted through September 30.  We then extended the comment period to November 1 based on numerous requests for more time to prepare responses.  Following a request from a member of the Idaho congressional delegation we extended the comment period a second time to December 1, 1997.  During October 1997, we held public hearings/open houses in seven communities on the perimeter of the Bitterroot area to gather public comments on the Draft EIS and proposed rule.  Approximately 1,400 people attended these hearings and 293 individuals testified.  The Salmon and Hamilton hearings both had more people signed up to speak than time allowed.  The dates and locations for the public hearings were Challis, Idaho, and Hamilton, Montana (October 1); Missoula, Montana, and Lewiston, Idaho (October 2); Boise, Idaho, and Helena, Montana (October 3); and Salmon, Idaho (October 8).  In addition, we held meetings with local community and State leaders, and interest groups in communities around the perimeter of the proposed Recovery Area.  The Draft EIS, the Summary of the Draft EIS, and the Special Rule were all published on our web site at http://www.r6/fws/gov/endspp/grizzly.</w:t>
      </w:r>
    </w:p>
    <w:p w14:paraId="55BF84D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F5896B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Comments on the two draft documents were received from over 24,000 individuals, organizations, and government agencies.  These comments arrived in over 2,660 letters, Draft EIS summary forms, resolutions, and hearing testimonies.  Ten </w:t>
      </w:r>
      <w:r>
        <w:rPr>
          <w:rFonts w:ascii="Times New Roman" w:hAnsi="Times New Roman" w:cs="Times New Roman"/>
          <w:color w:val="auto"/>
          <w:sz w:val="24"/>
          <w:szCs w:val="24"/>
        </w:rPr>
        <w:lastRenderedPageBreak/>
        <w:t>petitions were received with over 21,000 signatures.  Fifteen form letters were identified.  This degree of interest from the public indicates the strong feelings people have about the possibility of grizzly bear recovery in the Bitterroot Ecosystem.</w:t>
      </w:r>
    </w:p>
    <w:p w14:paraId="749A6CB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34A06A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An analysis of the public comments on the Draft EIS and proposed rule was performed by an interagency team of 14 employees from our agency and the U.S. Forest Service in December 1997 and January 1998.  The system used to analyze comments was objective, reliable and traceable.  We prepared a detailed summary report, "Summary of Public Comments on the Draft Environmental Impact Statement for Grizzly Bear Recovery in the Bitterroot Ecosystem" and an executive summary report of 24,251 public comments and released it to the public in April 1998 (U.S. Fish and Wildlife Service 1998).  The major issues raised by the public included Recovery Area Boundaries; Bear Sources; Experimental Nonessential Population; Endangered Species Act; Restrictions on Use of Public Lands; Local Control; Best Available Science; Grizzly Bear as a Missing Component of the Ecosystem; What is a Viable Grizzly Population; Population Corridor Linkages; Range Requirements of Grizzly; Effects to Grizzly (genetics, disease, bear safety, adequate food); Ecosystem Protection; Effects of Grizzlies on Human Health and Safety; Effects of Grizzlies on Livestock and Pets; Effects of Grizzlies on Big Game Species and Hunting Opportunities; Effects of Grizzlies on Recreational Opportunities and Public Access; Effects on Local Economy (jobs); Need for Education.  Issues raised during public comment on the Draft EIS were similar to the issues identified during public scoping.</w:t>
      </w:r>
    </w:p>
    <w:p w14:paraId="29EDB12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EB1C40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EIS Team was briefed by the Content Analysis Team regarding the results of the Draft EIS comment analysis in February 1998.  The EIS Team met numerous times </w:t>
      </w:r>
      <w:r>
        <w:rPr>
          <w:rFonts w:ascii="Times New Roman" w:hAnsi="Times New Roman" w:cs="Times New Roman"/>
          <w:color w:val="auto"/>
          <w:sz w:val="24"/>
          <w:szCs w:val="24"/>
        </w:rPr>
        <w:lastRenderedPageBreak/>
        <w:t>to thoroughly review the content analysis reports and original comment letters.  They identified significant issues and, through the NEPA process, discussed and decided on necessary revisions to the Draft EIS and proposed rule to be responsive to public comment.  During 1998, the EIS Team prepared the Final EIS and revised the Special Rule.  In early 1999, we began our internal review of the draft Final documents.</w:t>
      </w:r>
    </w:p>
    <w:p w14:paraId="24BA872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2E0B77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We released the Final EIS on grizzly bear recovery in the Bitterroot Ecosystem on March 24, 2000.  Chapter 5 of the Final EIS contains a detailed review of public comments on the Draft EIS, including comments on the proposed rule, and the Service’s response.  The Final EIS considers six alternatives—(1) Restoration of Grizzly Bears as a Nonessential Experimental Population with Citizen Management (Preferred Alternative);  (1A) Restoration of Grizzly Bears as a Nonessential Experimental Population with Service Management;  (2) Natural Recovery - The No Action Alternative;  (3) No Grizzly Bear Alternative;  (4) Restoration of Grizzly Bears as a Threatened Population with Full Protection of the Act and Habitat Restoration; and (4A) Restoration of Grizzly Bears as a Threatened Population with Full Protection of the Act and Service Management.  </w:t>
      </w:r>
    </w:p>
    <w:p w14:paraId="21EC371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E0935E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On [</w:t>
      </w:r>
      <w:r>
        <w:rPr>
          <w:rFonts w:ascii="Times New Roman" w:hAnsi="Times New Roman" w:cs="Times New Roman"/>
          <w:b/>
          <w:bCs/>
          <w:color w:val="auto"/>
          <w:sz w:val="24"/>
          <w:szCs w:val="24"/>
        </w:rPr>
        <w:t>INSERT DATE OF ROD</w:t>
      </w:r>
      <w:r>
        <w:rPr>
          <w:rFonts w:ascii="Times New Roman" w:hAnsi="Times New Roman" w:cs="Times New Roman"/>
          <w:color w:val="auto"/>
          <w:sz w:val="24"/>
          <w:szCs w:val="24"/>
        </w:rPr>
        <w:t>] the Service issued its Record of Decision on the Final EIS, and selected the Preferred Alternative (Alternative 1 in the Final EIS) for implementation [</w:t>
      </w:r>
      <w:r>
        <w:rPr>
          <w:rFonts w:ascii="Times New Roman" w:hAnsi="Times New Roman" w:cs="Times New Roman"/>
          <w:b/>
          <w:bCs/>
          <w:color w:val="auto"/>
          <w:sz w:val="24"/>
          <w:szCs w:val="24"/>
        </w:rPr>
        <w:t>INSERT FEDERAL REGISTER CITATION FOR THE ROD]</w:t>
      </w:r>
    </w:p>
    <w:p w14:paraId="4266D27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7DA5D5F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Experimental/Reintroduction Site</w:t>
      </w:r>
    </w:p>
    <w:p w14:paraId="5E0DFBF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987CBD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We intend to restore grizzly bears into the Bitterroot Ecosystem of east</w:t>
      </w:r>
      <w:r>
        <w:rPr>
          <w:rFonts w:ascii="Times New Roman" w:hAnsi="Times New Roman" w:cs="Times New Roman"/>
          <w:color w:val="auto"/>
          <w:sz w:val="24"/>
          <w:szCs w:val="24"/>
        </w:rPr>
        <w:noBreakHyphen/>
        <w:t xml:space="preserve">central </w:t>
      </w:r>
      <w:r>
        <w:rPr>
          <w:rFonts w:ascii="Times New Roman" w:hAnsi="Times New Roman" w:cs="Times New Roman"/>
          <w:color w:val="auto"/>
          <w:sz w:val="24"/>
          <w:szCs w:val="24"/>
        </w:rPr>
        <w:lastRenderedPageBreak/>
        <w:t>Idaho in the Selway-Bitterroot Wilderness on Federal lands managed by the Forest Service.  The Bitterroot location was selected as a site for an experimental population of grizzly bears based on several factors.  The area known as the Bitterroot Ecosystem is centered around the federally designated Wilderness Areas of central Idaho, while a small portion extends eastward over the crest of the Bitterroot Mountains into Montana.  It includes about 67,526 square kilometers (26,072 square miles) of contiguous national forest lands in central Idaho and western Montana.  These include portions of the Bitterroot, Boise, Salmon/Challis, Clearwater, Nez Perce, Payette, Sawtooth, and Panhandle National Forests in Idaho, and the Bitterroot and Lolo National Forests in western Montana.  The core of the Ecosystem contains three designated wilderness areas including the Frank Church</w:t>
      </w:r>
      <w:r>
        <w:rPr>
          <w:rFonts w:ascii="Times New Roman" w:hAnsi="Times New Roman" w:cs="Times New Roman"/>
          <w:color w:val="auto"/>
          <w:sz w:val="24"/>
          <w:szCs w:val="24"/>
        </w:rPr>
        <w:noBreakHyphen/>
        <w:t>River of No Return, Selway</w:t>
      </w:r>
      <w:r>
        <w:rPr>
          <w:rFonts w:ascii="Times New Roman" w:hAnsi="Times New Roman" w:cs="Times New Roman"/>
          <w:color w:val="auto"/>
          <w:sz w:val="24"/>
          <w:szCs w:val="24"/>
        </w:rPr>
        <w:noBreakHyphen/>
        <w:t>Bitterroot, and Gospel Hump.  These areas provide approximately 15,793 square kilometers (6,098 square miles) of grizzly bear habitat.  We will only reintroduce grizzly bears into the Selway</w:t>
      </w:r>
      <w:r>
        <w:rPr>
          <w:rFonts w:ascii="Times New Roman" w:hAnsi="Times New Roman" w:cs="Times New Roman"/>
          <w:color w:val="auto"/>
          <w:sz w:val="24"/>
          <w:szCs w:val="24"/>
        </w:rPr>
        <w:noBreakHyphen/>
        <w:t xml:space="preserve">Bitterroot Wilderness Area unless the Citizen Management Committee (Committee) determines that reintroduction in the River of No Return Wilderness is appropriate.  We will identify specific release sites that have high quality bear habitat and low likelihood of human encounters. </w:t>
      </w:r>
    </w:p>
    <w:p w14:paraId="49A37E7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036D3F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term “current range,” as it is used in this rule, refers to the area inside or within 10 miles of the recovery zone line of currently occupied grizzly bear recovery zones (U.S. Fish and Wildlife Service 1993, page 171).  The term “geographically separate,” as it is used in this rule, means that the Experimental Population Area and the recovery zone boundary of any existing grizzly bear population are separated by more than 10 miles.</w:t>
      </w:r>
    </w:p>
    <w:p w14:paraId="726EDB4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1DE711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t>There is no documentation that grizzly bears from northwestern Montana have moved into central Idaho.  There is no evidence of any grizzly bears in the Experimental Population Area, thus there is no evidence of an existing grizzly bear population in the Experimental Population Area.  In an effort to create a definition of a population for use in determining the feasibility of experimental population status for the Bitterroot Ecosystem, we solicited input from 54 scientists familiar with bear populations.  Thirty-seven scientists responded and, as a result of this Delphi analysis, we adopted a definition.  The definition of a grizzly bear population, as used in the Final EIS to define a minimal existing grizzly bear population in the Bitterroot, follows: “A grizzly bear population is defined by verified evidence within the previous six years, consisting of photos within the area, verified tracks and/or sightings by reputable scientists or agency personnel, of at least two different female grizzly bears with young or one female seen with different litters in two different years in an area geographically distinct from other grizzly bear populations.  Verifiable evidence of females with young, to be geographically distinct, would have to occur greater than 10 miles (U.S. Fish and Wildlife Service 1993, page 171) from the nearest non</w:t>
      </w:r>
      <w:r>
        <w:rPr>
          <w:rFonts w:ascii="Times New Roman" w:hAnsi="Times New Roman" w:cs="Times New Roman"/>
          <w:color w:val="auto"/>
          <w:sz w:val="24"/>
          <w:szCs w:val="24"/>
        </w:rPr>
        <w:noBreakHyphen/>
        <w:t xml:space="preserve">experimental grizzly bear population recovery zone boundary."  Research data from the Cabinet-Yaak Ecosystem indicates the average home range size of an adult female grizzly bear when converted to a circle, has a radius of 10 miles </w:t>
      </w:r>
      <w:r>
        <w:rPr>
          <w:rFonts w:ascii="Times New Roman" w:hAnsi="Times New Roman" w:cs="Times New Roman"/>
          <w:color w:val="auto"/>
          <w:sz w:val="24"/>
          <w:szCs w:val="24"/>
          <w:u w:val="single"/>
        </w:rPr>
        <w:t>(Kasworm and Servheen 1995)</w:t>
      </w:r>
      <w:r>
        <w:rPr>
          <w:rFonts w:ascii="Times New Roman" w:hAnsi="Times New Roman" w:cs="Times New Roman"/>
          <w:color w:val="auto"/>
          <w:sz w:val="24"/>
          <w:szCs w:val="24"/>
        </w:rPr>
        <w:t xml:space="preserve">. </w:t>
      </w:r>
    </w:p>
    <w:p w14:paraId="6DA5011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E273CE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Bitterroot Experimental Population Area is outside the current range, but within the historic range of the grizzly bear.  The Bitterroot Experimental Population Area is greater than 10 miles from any recovery zone boundary of any existing grizzly bear population.  Thus, the Service has determined that the east</w:t>
      </w:r>
      <w:r>
        <w:rPr>
          <w:rFonts w:ascii="Times New Roman" w:hAnsi="Times New Roman" w:cs="Times New Roman"/>
          <w:color w:val="auto"/>
          <w:sz w:val="24"/>
          <w:szCs w:val="24"/>
        </w:rPr>
        <w:noBreakHyphen/>
        <w:t xml:space="preserve">central Idaho reintroduction area is consistent with provisions of section 10(j) of the Act; specifically, </w:t>
      </w:r>
      <w:r>
        <w:rPr>
          <w:rFonts w:ascii="Times New Roman" w:hAnsi="Times New Roman" w:cs="Times New Roman"/>
          <w:color w:val="auto"/>
          <w:sz w:val="24"/>
          <w:szCs w:val="24"/>
        </w:rPr>
        <w:lastRenderedPageBreak/>
        <w:t>that experimental grizzly bears must be geographically separate from other non-experimental populations.  Grizzlies dispersing into areas outside of the Experimental Population Area will receive all the protections of a threatened species under the Act.  Although the Service has determined that there is no existing grizzly bear population in the Experimental Population Area, we will continue to monitor for the presence of any grizzly bears naturally occurring in the area, and evaluate any new sightings from the area.</w:t>
      </w:r>
    </w:p>
    <w:p w14:paraId="72590FD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5DC25AF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Reintroduction Protocol</w:t>
      </w:r>
    </w:p>
    <w:p w14:paraId="0427984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7E0AD07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We will undertake the grizzly bear recovery project in the Bitterroot Ecosystem in cooperation with the U.S. Forest Service, other Federal agencies, the States of Idaho and Montana, the Nez Perce Tribe, and entities of the Canadian Provincial government.  We will also enter into agreements with the appropriate Canadian Provincial government agencies to obtain grizzly bears.</w:t>
      </w:r>
    </w:p>
    <w:p w14:paraId="7FED115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4BE3C6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Bitterroot Ecosystem recovery program proposes trapping a minimum of 25 subadult grizzly bears of both sexes over a 5</w:t>
      </w:r>
      <w:r>
        <w:rPr>
          <w:rFonts w:ascii="Times New Roman" w:hAnsi="Times New Roman" w:cs="Times New Roman"/>
          <w:color w:val="auto"/>
          <w:sz w:val="24"/>
          <w:szCs w:val="24"/>
        </w:rPr>
        <w:noBreakHyphen/>
        <w:t>year period from areas in Canada (in cooperation with Canadian authorities) and the United States that presently have populations of grizzly bears living in habitats that are similar to those found in the Bitterroot Ecosystem.  We will only reintroduce bears with no history of conflict with people.  We will capture and reintroduce bears at the time of year optimal to their survival.  This will likely occur when grizzly bear food supplies in the Bitterroot Ecosystem are optimum.  We plan to transport bears to east</w:t>
      </w:r>
      <w:r>
        <w:rPr>
          <w:rFonts w:ascii="Times New Roman" w:hAnsi="Times New Roman" w:cs="Times New Roman"/>
          <w:color w:val="auto"/>
          <w:sz w:val="24"/>
          <w:szCs w:val="24"/>
        </w:rPr>
        <w:noBreakHyphen/>
        <w:t xml:space="preserve">central Idaho, provide any necessary veterinary care, and fit them with radio collars in order to monitor them by the </w:t>
      </w:r>
      <w:r>
        <w:rPr>
          <w:rFonts w:ascii="Times New Roman" w:hAnsi="Times New Roman" w:cs="Times New Roman"/>
          <w:color w:val="auto"/>
          <w:sz w:val="24"/>
          <w:szCs w:val="24"/>
        </w:rPr>
        <w:lastRenderedPageBreak/>
        <w:t>use of radiotelemetry.  We will determine the movements of individual grizzly bears and how they use their habitat, and keep the public informed of general bear locations and recovery efforts.  We will release bears close enough to each other to create a "colony" or population of bears,  providing the basis from which they will successfully reproduce and expand in numbers.</w:t>
      </w:r>
    </w:p>
    <w:p w14:paraId="511FE52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FA6E9A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Grizzly bears (</w:t>
      </w:r>
      <w:r>
        <w:rPr>
          <w:rFonts w:ascii="Times New Roman" w:hAnsi="Times New Roman" w:cs="Times New Roman"/>
          <w:color w:val="auto"/>
          <w:sz w:val="24"/>
          <w:szCs w:val="24"/>
          <w:u w:val="single"/>
        </w:rPr>
        <w:t>Ursus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arctos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horribilis</w:t>
      </w:r>
      <w:r>
        <w:rPr>
          <w:rFonts w:ascii="Times New Roman" w:hAnsi="Times New Roman" w:cs="Times New Roman"/>
          <w:color w:val="auto"/>
          <w:sz w:val="24"/>
          <w:szCs w:val="24"/>
        </w:rPr>
        <w:t>) for this reintroduction will be obtained from Canadian and United States grizzly populations with permission from the Canadian Provincial governments and concurrence from the appropriate State officials.  Grizzly bears can be taken by authorized State, Federal, and tribal authorities for scientific or research purposes under the authorities granted by 50 CFR 17.40.  Grizzly bears are common in western Canada (10,000 to 11,000 in British Columbia) and Alaska (an estimated 30,000 to 35,000).  An estimated minimum of 325 grizzly bears exist in the Northern Continental Divide Ecosystem in northwestern Montana, and an estimated minimum of 328 exist in the Yellowstone Ecosystem (1998 estimates per Grizzly Bear Recovery Plan criteria (U.S. Fish and Wildlife Service 1993)).  The Final EIS analysis indicates no significant adverse impact to source populations from removal of grizzly bears for reintroduction to the Bitterroot Ecosystem (U.S. Fish and Wildlife Service 2000), i.e., no adverse biological impact is expected from the removal of 10</w:t>
      </w:r>
      <w:r>
        <w:rPr>
          <w:rFonts w:ascii="Times New Roman" w:hAnsi="Times New Roman" w:cs="Times New Roman"/>
          <w:color w:val="auto"/>
          <w:sz w:val="24"/>
          <w:szCs w:val="24"/>
        </w:rPr>
        <w:noBreakHyphen/>
        <w:t>15 grizzly bears from the British Columbia population over a 5</w:t>
      </w:r>
      <w:r>
        <w:rPr>
          <w:rFonts w:ascii="Times New Roman" w:hAnsi="Times New Roman" w:cs="Times New Roman"/>
          <w:color w:val="auto"/>
          <w:sz w:val="24"/>
          <w:szCs w:val="24"/>
        </w:rPr>
        <w:noBreakHyphen/>
        <w:t>year period, and no adverse biological impact is expected from the removal of 10-15 grizzly bears from the Northern Continental Divide and/or Yellowstone Ecosystem populations over a 5</w:t>
      </w:r>
      <w:r>
        <w:rPr>
          <w:rFonts w:ascii="Times New Roman" w:hAnsi="Times New Roman" w:cs="Times New Roman"/>
          <w:color w:val="auto"/>
          <w:sz w:val="24"/>
          <w:szCs w:val="24"/>
        </w:rPr>
        <w:noBreakHyphen/>
        <w:t xml:space="preserve">year period.  Under 50 CFR 17.80(b), the term "nonessential experimental population" means an experimental population whose loss would not be likely to appreciably reduce the likelihood of the survival of the species in the wild.  The Service finds that grizzly bears </w:t>
      </w:r>
      <w:r>
        <w:rPr>
          <w:rFonts w:ascii="Times New Roman" w:hAnsi="Times New Roman" w:cs="Times New Roman"/>
          <w:color w:val="auto"/>
          <w:sz w:val="24"/>
          <w:szCs w:val="24"/>
        </w:rPr>
        <w:lastRenderedPageBreak/>
        <w:t>to be used in the reintroduction effort meet the definition of "nonessential" because the loss of the reintroduced grizzlies is not likely to appreciably reduce the likelihood of survival of the species in the wild.</w:t>
      </w:r>
    </w:p>
    <w:p w14:paraId="515F69E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546E13B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r>
        <w:rPr>
          <w:rFonts w:ascii="Times New Roman" w:hAnsi="Times New Roman" w:cs="Times New Roman"/>
          <w:color w:val="auto"/>
          <w:sz w:val="24"/>
          <w:szCs w:val="24"/>
        </w:rPr>
        <w:tab/>
        <w:t xml:space="preserve">We will continue to ask private landowners and agency personnel in or around the Bitterroot Ecosystem to immediately report any grizzly bear observations to us or to other authorized agencies.  We intend to discourage the taking of grizzly bears by the public through an extensive information and education program.  Public cooperation will be encouraged to ensure close monitoring of the grizzly bears and quick resolution of any conflicts that might arise.  Specific information on grizzly bear reintroduction procedures can be found in Appendix 6, "Scientific Techniques for the Reintroduction of Grizzly Bears," in the Final EIS. </w:t>
      </w:r>
    </w:p>
    <w:p w14:paraId="1DF71CB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2C14512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Status of Reintroduced Population</w:t>
      </w:r>
    </w:p>
    <w:p w14:paraId="227AD88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DD1A13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In accordance with section 10(j) of the Act, this rule designates grizzly bears reintroduced to the Bitterroot Ecosystem as a nonessential experimental population.  After reintroduction, every grizzly bear found within the experimental population area will be considered a nonessential experimental animal.  The primary reasons for this designation are the biological status of the grizzly and the need for management flexibility to achieve reintroduction goals.  Such designation will allow these grizzly bears to be treated as a species proposed for listing for the purposes of section 7 of the Act.  This allows us to establish a more flexible and less restrictive special rule rather than applying the general prohibitions of the  Act which otherwise apply to threatened species.</w:t>
      </w:r>
    </w:p>
    <w:p w14:paraId="4E2188B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7871CB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We find that protective measures and management practices under this final rule are necessary and advisable for the conservation of the grizzly.  We also find that nonessential experimental status is appropriate for grizzly bears taken from wild populations and released into the Bitterroot Ecosystem of east</w:t>
      </w:r>
      <w:r>
        <w:rPr>
          <w:rFonts w:ascii="Times New Roman" w:hAnsi="Times New Roman" w:cs="Times New Roman"/>
          <w:color w:val="auto"/>
          <w:sz w:val="24"/>
          <w:szCs w:val="24"/>
        </w:rPr>
        <w:noBreakHyphen/>
        <w:t>central Idaho.  Formal section 7 consultation will not be required for any proposed U.S. Forest Service activity in the Bitterroot Ecosystem as a result of the experimental reintroduction of bears, and the requirements of section 7(a)(2) will not apply because there are no National Wildlife Refuges or National Parks within the Bitterroot Experimental Population Area.  However, because nonessential experimental grizzly bears will be treated as a species proposed for listing, the conferencing requirements under section 7(a)(4) will apply.  Presently, there are no conflicts envisioned with any current or anticipated management actions of the U.S. Forest Service or other Federal agencies in the area.  The national forests are beneficial to the reintroduction effort in that they form a natural buffer to private properties and are typically managed in a manner compatible for grizzly bears and other wildlife.  We find that the section 7(a)(4) conferencing requirements associated with the nonessential designation do not pose a threat to the recovery effort and continued existence of the grizzly bear.</w:t>
      </w:r>
    </w:p>
    <w:p w14:paraId="156472F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99B3E4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Most of the reintroduction area is composed of remote and sparsely inhabited wild lands.  However, there are some risks to grizzly recovery associated with take of grizzlies resulting from other land uses and various recreational activities.  Potential threats are hunting, trapping, animal damage control activities, and high speed vehicular traffic.  Hunting, trapping, and USDA Animal Damage Control programs are prohibited or strictly regulated by State and Federal law and policy.  There are very few paved or </w:t>
      </w:r>
      <w:r>
        <w:rPr>
          <w:rFonts w:ascii="Times New Roman" w:hAnsi="Times New Roman" w:cs="Times New Roman"/>
          <w:color w:val="auto"/>
          <w:sz w:val="24"/>
          <w:szCs w:val="24"/>
        </w:rPr>
        <w:lastRenderedPageBreak/>
        <w:t>unpaved roads in the reintroduction area or immediately outside of it.  The unpaved roads typically have low levels of vehicle traffic, and are constructed for low speeds and used only seasonally.  Grizzly bears, therefore, should encounter vehicles and humans infrequently.  In accordance with existing labeling, the use of toxicants lethal to grizzlies is prohibited.  Overall, the possible risks and threats that could impact the success of the recovery effort are thought to be minimal.</w:t>
      </w:r>
    </w:p>
    <w:p w14:paraId="63B10DB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A693E1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Location of the Experimental Population Area</w:t>
      </w:r>
    </w:p>
    <w:p w14:paraId="527ED84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73D292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Bitterroot Grizzly Bear Experimental Population Area includes most of east</w:t>
      </w:r>
      <w:r>
        <w:rPr>
          <w:rFonts w:ascii="Times New Roman" w:hAnsi="Times New Roman" w:cs="Times New Roman"/>
          <w:color w:val="auto"/>
          <w:sz w:val="24"/>
          <w:szCs w:val="24"/>
        </w:rPr>
        <w:noBreakHyphen/>
        <w:t>central Idaho and part of western Montana.  This approximately 65,113 square kilometer area (25,140 square mile area) will include the area bounded by U.S. Highway 93 from its junction with the Bitterroot River near Missoula, Montana, to Challis, Idaho; Idaho Highway 75 from Challis to Stanley, Idaho; Idaho Highway 21 from Stanley to Lowman, Idaho; Idaho Highway 17 from Lowman to Banks, Idaho; Idaho Highway 55 from Banks to New Meadows, Idaho; U.S. Highway 95 from New Meadows to Coeur d'Alene, Idaho; Interstate 90 from Coeur d'Alene, Idaho, to its junction with the Clark Fork River near St. Regis, Montana; the Clark Fork River from its junction with Interstate 90 near St. Regis, to its confluence with the Bitterroot River near Missoula, Montana; and the Bitterroot River from its confluence with the Clark Fork River to its junction with U.S. Highway 93, near Missoula, Montana.  Much of the Experimental Population Area has high</w:t>
      </w:r>
      <w:r>
        <w:rPr>
          <w:rFonts w:ascii="Times New Roman" w:hAnsi="Times New Roman" w:cs="Times New Roman"/>
          <w:color w:val="auto"/>
          <w:sz w:val="24"/>
          <w:szCs w:val="24"/>
        </w:rPr>
        <w:noBreakHyphen/>
        <w:t>quality bear habitat with low likelihood of conflicts between grizzly bears and humans.</w:t>
      </w:r>
    </w:p>
    <w:p w14:paraId="306006C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EF0925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proposed release site for restoring grizzly bears into east</w:t>
      </w:r>
      <w:r>
        <w:rPr>
          <w:rFonts w:ascii="Times New Roman" w:hAnsi="Times New Roman" w:cs="Times New Roman"/>
          <w:color w:val="auto"/>
          <w:sz w:val="24"/>
          <w:szCs w:val="24"/>
        </w:rPr>
        <w:noBreakHyphen/>
        <w:t xml:space="preserve">central Idaho is on </w:t>
      </w:r>
      <w:r>
        <w:rPr>
          <w:rFonts w:ascii="Times New Roman" w:hAnsi="Times New Roman" w:cs="Times New Roman"/>
          <w:color w:val="auto"/>
          <w:sz w:val="24"/>
          <w:szCs w:val="24"/>
        </w:rPr>
        <w:lastRenderedPageBreak/>
        <w:t>national forest land in the Selway</w:t>
      </w:r>
      <w:r>
        <w:rPr>
          <w:rFonts w:ascii="Times New Roman" w:hAnsi="Times New Roman" w:cs="Times New Roman"/>
          <w:color w:val="auto"/>
          <w:sz w:val="24"/>
          <w:szCs w:val="24"/>
        </w:rPr>
        <w:noBreakHyphen/>
        <w:t>Bitterroot Wilderness Area.  The Bitterroot Grizzly Bear Recovery Area (Recovery Area) consists of the Selway</w:t>
      </w:r>
      <w:r>
        <w:rPr>
          <w:rFonts w:ascii="Times New Roman" w:hAnsi="Times New Roman" w:cs="Times New Roman"/>
          <w:color w:val="auto"/>
          <w:sz w:val="24"/>
          <w:szCs w:val="24"/>
        </w:rPr>
        <w:noBreakHyphen/>
        <w:t>Bitterroot Wilderness and the Frank Church</w:t>
      </w:r>
      <w:r>
        <w:rPr>
          <w:rFonts w:ascii="Times New Roman" w:hAnsi="Times New Roman" w:cs="Times New Roman"/>
          <w:color w:val="auto"/>
          <w:sz w:val="24"/>
          <w:szCs w:val="24"/>
        </w:rPr>
        <w:noBreakHyphen/>
        <w:t>River of No Return Wilderness (approximately 14,983 square kilometers; 5,785 square miles).  This is the area where grizzly bear recovery will be emphasized.  If, in the future, new wilderness areas are designated adjacent to the Recovery Area, the Committee may recommend to the Secretary their addition to the Recovery Area.  The Secretary would have to amend this rule to change the definition of the Recovery Area.</w:t>
      </w:r>
    </w:p>
    <w:p w14:paraId="1E2B57E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FD8A84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Management of the Reintroduced Population</w:t>
      </w:r>
    </w:p>
    <w:p w14:paraId="35BDEC0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52141F1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This special rule establishes a 15-member Citizens Management Committee (Committee)  to facilitate recovery of the experimental grizzly bear population in the Bitterroot Ecosystem.  The Committee will make recommendations to the land and wildlife management agencies that the Committee believes will lead to recovery of the grizzly bear in the Bitterroot Ecosystem.  Decisions on and implementation of these recommendations will remain the responsibility of the land and wildlife management agencies.  The Idaho Department of Fish and Game, Nez Perce Tribe, Montana Department of Fish, Wildlife, and Parks, and the Forest Service, in coordination with us, will continue to exercise day-to-day management responsibility within the Experimental Area.</w:t>
      </w:r>
    </w:p>
    <w:p w14:paraId="68FA3DD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323B56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Committee will have the authority and responsibility for various tasks relating to the experimental grizzly bear population, to include: 1) soliciting technical advice from outside experts; 2) implementing the Bitterroot Chapter of the Grizzly Bear </w:t>
      </w:r>
      <w:r>
        <w:rPr>
          <w:rFonts w:ascii="Times New Roman" w:hAnsi="Times New Roman" w:cs="Times New Roman"/>
          <w:color w:val="auto"/>
          <w:sz w:val="24"/>
          <w:szCs w:val="24"/>
        </w:rPr>
        <w:lastRenderedPageBreak/>
        <w:t>Recovery Plan; 3) establishing a public participation process to review Committee recommendations; 4) developing strategies to emphasize recovery in the Experimental Area; 5) developing grizzly bear guidance for proper camping and sanitation within the Experimental Area; and 6) developing a response protocol for responding to grizzly bear encounters.  See section 9 of the special rule for a complete list of Committee tasks.</w:t>
      </w:r>
    </w:p>
    <w:p w14:paraId="6BF2144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100603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Two scientific advisors will be appointed to provide the Committee ready access to independent scientific information on grizzly bears.  These advisors, which will not be employed by Federal agencies involved in grizzly bear recovery, will be non-voting members, and will attend all Committee meetings.  </w:t>
      </w:r>
    </w:p>
    <w:p w14:paraId="46785DB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2B0551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1BCB61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special rule provides a procedure to monitor the progress of the Committee and  resolve disputes if Committee actions are not contributing to the recovery of grizzly bears in the Bitterroot ecosystem or not in compliance with this special rule.   Included in this provision of the special rule is a process to establish a peer review panel of three scientists (Scientific Review Panel).   The Scientific Review Panel will review issues, solicit additional information if necessary, and using the best scientific and commercial data available, make timely recommendations to the Committee as to whether actions and decisions are in compliance with the special rule and leading to recovery of the grizzly bear in the Bitterroot ecosystem.  The Scientific Review Panel process is diagramed in Figure 1.  Section 11 of the special rule contains the procedures to be followed when Committee actions are not leading to the recovery of the grizzly bear in the Experimental Population Area, including the steps that will be undertaken if we resume lead management responsibility for the experimental population.  </w:t>
      </w:r>
    </w:p>
    <w:p w14:paraId="0FA1367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r>
        <w:rPr>
          <w:rFonts w:ascii="Times New Roman" w:hAnsi="Times New Roman" w:cs="Times New Roman"/>
          <w:b/>
          <w:bCs/>
          <w:color w:val="auto"/>
          <w:sz w:val="24"/>
          <w:szCs w:val="24"/>
        </w:rPr>
        <w:t>Potential for Conflict With Federal and Other Activities</w:t>
      </w:r>
    </w:p>
    <w:p w14:paraId="36B344FA" w14:textId="77777777" w:rsidR="00B60579" w:rsidRDefault="00B60579">
      <w:pPr>
        <w:framePr w:w="4440" w:h="12804" w:hSpace="240" w:vSpace="240" w:wrap="auto" w:vAnchor="page" w:hAnchor="margin" w:x="-2039" w:y="1"/>
        <w:pBdr>
          <w:top w:val="single" w:sz="7" w:space="6" w:color="auto"/>
          <w:left w:val="single" w:sz="7" w:space="4" w:color="auto"/>
          <w:bottom w:val="single" w:sz="7" w:space="6" w:color="auto"/>
          <w:right w:val="single" w:sz="7" w:space="4" w:color="auto"/>
        </w:pBdr>
        <w:tabs>
          <w:tab w:val="left" w:pos="-1440"/>
          <w:tab w:val="left" w:pos="-720"/>
        </w:tabs>
        <w:rPr>
          <w:rFonts w:ascii="Times New Roman" w:hAnsi="Times New Roman" w:cs="Times New Roman"/>
          <w:color w:val="auto"/>
          <w:sz w:val="24"/>
          <w:szCs w:val="24"/>
        </w:rPr>
      </w:pP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PRIVATE </w:instrText>
      </w:r>
      <w:r>
        <w:rPr>
          <w:rFonts w:ascii="Times New Roman" w:hAnsi="Times New Roman" w:cs="Times New Roman"/>
          <w:color w:val="auto"/>
          <w:sz w:val="24"/>
          <w:szCs w:val="24"/>
        </w:rPr>
      </w:r>
      <w:r>
        <w:rPr>
          <w:rFonts w:ascii="Times New Roman" w:hAnsi="Times New Roman" w:cs="Times New Roman"/>
          <w:color w:val="auto"/>
          <w:sz w:val="24"/>
          <w:szCs w:val="24"/>
        </w:rPr>
        <w:fldChar w:fldCharType="end"/>
      </w:r>
    </w:p>
    <w:p w14:paraId="166A0B2E" w14:textId="77777777" w:rsidR="00B60579" w:rsidRDefault="00B60579">
      <w:pPr>
        <w:framePr w:w="4440" w:h="12804" w:hSpace="240" w:vSpace="240" w:wrap="auto" w:vAnchor="page" w:hAnchor="margin" w:x="-2039" w:y="1"/>
        <w:pBdr>
          <w:top w:val="single" w:sz="7" w:space="6" w:color="auto"/>
          <w:left w:val="single" w:sz="7" w:space="4" w:color="auto"/>
          <w:bottom w:val="single" w:sz="7" w:space="6" w:color="auto"/>
          <w:right w:val="single" w:sz="7" w:space="4" w:color="auto"/>
        </w:pBdr>
        <w:tabs>
          <w:tab w:val="left" w:pos="-1440"/>
          <w:tab w:val="left" w:pos="-720"/>
        </w:tabs>
        <w:rPr>
          <w:rFonts w:ascii="Times New Roman" w:hAnsi="Times New Roman" w:cs="Times New Roman"/>
          <w:color w:val="auto"/>
          <w:sz w:val="24"/>
          <w:szCs w:val="24"/>
        </w:rPr>
      </w:pPr>
    </w:p>
    <w:p w14:paraId="7D3BADD0" w14:textId="77777777" w:rsidR="00B60579" w:rsidRDefault="00B60579">
      <w:pPr>
        <w:framePr w:w="4440" w:h="12804" w:hSpace="240" w:vSpace="240" w:wrap="auto" w:vAnchor="page" w:hAnchor="margin" w:x="-2039" w:y="1"/>
        <w:pBdr>
          <w:top w:val="single" w:sz="7" w:space="6" w:color="auto"/>
          <w:left w:val="single" w:sz="7" w:space="4" w:color="auto"/>
          <w:bottom w:val="single" w:sz="7" w:space="6" w:color="auto"/>
          <w:right w:val="single" w:sz="7" w:space="4" w:color="auto"/>
        </w:pBdr>
        <w:tabs>
          <w:tab w:val="left" w:pos="-1440"/>
          <w:tab w:val="left" w:pos="-720"/>
        </w:tabs>
        <w:rPr>
          <w:rFonts w:ascii="Times New Roman" w:hAnsi="Times New Roman" w:cs="Times New Roman"/>
          <w:color w:val="auto"/>
          <w:sz w:val="24"/>
          <w:szCs w:val="24"/>
        </w:rPr>
      </w:pPr>
    </w:p>
    <w:p w14:paraId="7587F70D" w14:textId="77777777" w:rsidR="00B60579" w:rsidRDefault="00B60579">
      <w:pPr>
        <w:framePr w:w="4440" w:h="12804" w:hSpace="240" w:vSpace="240" w:wrap="auto" w:vAnchor="page" w:hAnchor="margin" w:x="-2039" w:y="1"/>
        <w:pBdr>
          <w:top w:val="single" w:sz="7" w:space="6" w:color="auto"/>
          <w:left w:val="single" w:sz="7" w:space="4" w:color="auto"/>
          <w:bottom w:val="single" w:sz="7" w:space="6" w:color="auto"/>
          <w:right w:val="single" w:sz="7" w:space="4" w:color="auto"/>
        </w:pBdr>
        <w:tabs>
          <w:tab w:val="left" w:pos="-1440"/>
          <w:tab w:val="left" w:pos="-720"/>
        </w:tabs>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p>
    <w:p w14:paraId="7C1D9C8A" w14:textId="77777777" w:rsidR="00B60579" w:rsidRDefault="00B60579">
      <w:pPr>
        <w:pStyle w:val="Caption"/>
        <w:framePr w:w="4440" w:h="12804" w:hSpace="240" w:vSpace="240" w:wrap="auto" w:vAnchor="page" w:hAnchor="margin" w:x="-2039" w:y="1"/>
        <w:tabs>
          <w:tab w:val="left" w:pos="-720"/>
        </w:tabs>
        <w:suppressAutoHyphens/>
        <w:spacing w:line="240" w:lineRule="atLeast"/>
        <w:ind w:left="-120" w:right="-120"/>
        <w:rPr>
          <w:rFonts w:ascii="Times New Roman" w:hAnsi="Times New Roman" w:cs="Times New Roman"/>
        </w:rPr>
      </w:pPr>
      <w:r>
        <w:rPr>
          <w:rFonts w:ascii="Times New Roman" w:hAnsi="Times New Roman" w:cs="Times New Roman"/>
          <w:vanish/>
        </w:rPr>
        <w:fldChar w:fldCharType="begin"/>
      </w:r>
      <w:r>
        <w:rPr>
          <w:rFonts w:ascii="Times New Roman" w:hAnsi="Times New Roman" w:cs="Times New Roman"/>
          <w:vanish/>
        </w:rPr>
        <w:instrText>seq Text_Box  \* Arabic  \r0</w:instrText>
      </w:r>
      <w:r>
        <w:rPr>
          <w:rFonts w:ascii="Times New Roman" w:hAnsi="Times New Roman" w:cs="Times New Roman"/>
          <w:vanish/>
        </w:rPr>
        <w:fldChar w:fldCharType="separate"/>
      </w:r>
      <w:r>
        <w:rPr>
          <w:rFonts w:ascii="Times New Roman" w:hAnsi="Times New Roman" w:cs="Times New Roman"/>
          <w:vanish/>
        </w:rPr>
        <w:t>0</w:t>
      </w:r>
      <w:r>
        <w:rPr>
          <w:rFonts w:ascii="Times New Roman" w:hAnsi="Times New Roman" w:cs="Times New Roman"/>
          <w:vanish/>
        </w:rPr>
        <w:fldChar w:fldCharType="end"/>
      </w:r>
      <w:r>
        <w:rPr>
          <w:rFonts w:ascii="Times New Roman" w:hAnsi="Times New Roman" w:cs="Times New Roman"/>
        </w:rPr>
        <w:t>Figure 1.  Scientific Review Panel process.</w:t>
      </w:r>
    </w:p>
    <w:p w14:paraId="170B4CD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78FFE4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Public opinion surveys, public comments on grizzly bear management planning, and the positions taken by elected officials indicate that grizzly bears should not be reintroduced without assurances that current uses of public and private lands will not be disrupted by grizzly bear recovery activities.  The Committee will emphasize the recovery of grizzly bears in the Recovery Area, but bears moving outside the recovery area into the Experimental Population Area will be accommodated through management provisions in the special rule and through the management plans and policies developed by the Committee.  The term "recovery emphasis" means grizzly bear management decisions in the recovery area will favor bear recovery so that this area can serve as core habitat for survival, reproduction, and dispersal of the recovering population; reintroduction of bears will occur within the recovery area and all reintroduction will occur within the Selway-Bitterroot Wilderness portion of the recovery area.  The word "accommodate" means grizzly bears that move outside the recovery area onto public land in the Experimental Population Area will not be disturbed unless they demonstrate a real and imminent threat to human safety or livestock.  The Committee will not recommend bears be disturbed or moved unless </w:t>
      </w:r>
      <w:r>
        <w:rPr>
          <w:rFonts w:ascii="Times New Roman" w:hAnsi="Times New Roman" w:cs="Times New Roman"/>
          <w:color w:val="auto"/>
          <w:sz w:val="24"/>
          <w:szCs w:val="24"/>
        </w:rPr>
        <w:lastRenderedPageBreak/>
        <w:t>conflicts are both significant and cannot be corrected as determined by the Committee, including conflicts associated with livestock, in which case the Committee will develop strategies to discourage grizzly bear occupancy in appropriate portions of the Experimental Population Area.</w:t>
      </w:r>
    </w:p>
    <w:p w14:paraId="5A1A63F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17934A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Unless the Committee determines otherwise, grizzly bears will be discouraged from occupying private lands outside the national forest boundary in the Bitterroot Valley, Montana (exclusion area).  Bears entering these areas will be captured and returned to the Recovery Area.  If a grizzly bear enters the exclusion area, State and Federal wildlife management agencies will attempt to capture it immediately and notify the public of its presence as soon as possible.  The public will be updated until the bear is caught.  Further, any grizzly bear that occupies inhabited human settlement areas on private land within the Experimental Population Area that in the judgement of the management agencies/Committee presents a clear threat to human safety or where there is indication that it may become habituated to humans, may be relocated by management agencies.  This is to prevent conflicts and possible bear-human injury or the death of bears, and to promote and enhance public safety.</w:t>
      </w:r>
    </w:p>
    <w:p w14:paraId="61E68AB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4638AD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No formal consultation under section 7 of the Act will be required regarding potential impacts of land uses, including resource extraction, on nonessential experimental grizzly bears.  However, because the nonessential experimental grizzly bears are treated as a proposed species for listing, Federal agencies will be required to confer, in accordance with section 7(a)(4) of the Act,  for actions that are likely to jeopardize the continued existence of the experimental bears.  The Committee is responsible for recommending changes in land</w:t>
      </w:r>
      <w:r>
        <w:rPr>
          <w:rFonts w:ascii="Times New Roman" w:hAnsi="Times New Roman" w:cs="Times New Roman"/>
          <w:color w:val="auto"/>
          <w:sz w:val="24"/>
          <w:szCs w:val="24"/>
        </w:rPr>
        <w:noBreakHyphen/>
        <w:t xml:space="preserve">use standards and guidelines as necessary </w:t>
      </w:r>
      <w:r>
        <w:rPr>
          <w:rFonts w:ascii="Times New Roman" w:hAnsi="Times New Roman" w:cs="Times New Roman"/>
          <w:color w:val="auto"/>
          <w:sz w:val="24"/>
          <w:szCs w:val="24"/>
        </w:rPr>
        <w:lastRenderedPageBreak/>
        <w:t>for grizzly bear management.  The Committee will develop recommendations on existing management plans and policies of land and game management agencies, as necessary, for the management of grizzly bears in the Experimental Population Area.  The final decision on implementation of recommendations from the Committee will be made by those agencies.  If the Committee recommendations require significant changes to existing plans and policy, and the agencies tentatively agree to accept those recommendations, then the requirements of the National Environmental Policy Act may apply.  Such management plans and policies will be in accordance with applicable State and Federal laws.</w:t>
      </w:r>
    </w:p>
    <w:p w14:paraId="59D1E1B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3CE4A7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People can continue to kill grizzly bears in self</w:t>
      </w:r>
      <w:r>
        <w:rPr>
          <w:rFonts w:ascii="Times New Roman" w:hAnsi="Times New Roman" w:cs="Times New Roman"/>
          <w:color w:val="auto"/>
          <w:sz w:val="24"/>
          <w:szCs w:val="24"/>
        </w:rPr>
        <w:noBreakHyphen/>
        <w:t xml:space="preserve">defense or in defense of others, with the requirement that such taking be reported within 24 hours to appropriate authorities (OMB #1018-0096).  After obtaining a permit from us, a person will be allowed to harass a grizzly bear attacking livestock (cattle, sheep, horses, and mules) or bees in the Experimental Population Area provided that all such harassment is by methods that are not lethal or physically injurious to the grizzly bear and such harassment is reported within 24 hours to the appropriate authorities.  We will also permit the use of livestock guard dogs to harass grizzly bears in a non-lethal fashion around livestock.  A livestock owner may be issued a permit to kill a grizzly bear killing or pursuing livestock on private lands if the response protocol established by the Committee has been satisfied and it has not been possible to capture the bear or deter depredations through agency efforts.  If there were significant conflicts between grizzly bears and livestock within the Experimental Population Area, these could be resolved in favor of livestock by capture or elimination of the bear depending on the circumstances.  We do not intend to establish a Federal compensation program for grizzly bear depredation, but compensation from </w:t>
      </w:r>
      <w:r>
        <w:rPr>
          <w:rFonts w:ascii="Times New Roman" w:hAnsi="Times New Roman" w:cs="Times New Roman"/>
          <w:color w:val="auto"/>
          <w:sz w:val="24"/>
          <w:szCs w:val="24"/>
        </w:rPr>
        <w:lastRenderedPageBreak/>
        <w:t>existing private funding sources will be encouraged.  Animal control toxicants lethal to bears are currently not used on public lands within the Recovery and Experimental Population Areas.  We anticipate that ongoing animal damage control activities will not be affected by grizzly bear recovery.  Any conflicts or mortalities associated with these activities will result in review by the Committee and any necessary changes will be recommended by the Committee.</w:t>
      </w:r>
    </w:p>
    <w:p w14:paraId="7C0B3DD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64FA0E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7DC318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 xml:space="preserve"> Summary of Public Participation</w:t>
      </w:r>
    </w:p>
    <w:p w14:paraId="6565EF8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2A3BB5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proposed rule was published in the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on July 2, 1997 (62 FR 35762) (U.S. Fish and Wildlife Service 1997a).  The proposed rule also was included as Appendix 13 of the Draft Environmental Impact Statement (Draft EIS) (U.S. Fish and Wildlife Service 1997) and was published on the Internet at http://www.r6.fws.gov/endspp/grizzly.  Public comments were received on the proposed rule and the Draft EIS through December 1, 1997, which included two extensions of the deadline in response to public requests for more time to comment.  During October 1997, we held public hearings/open houses to gather public comments on the Draft EIS and proposed rule in seven communities on the perimeter of the Bitterroot area.  Approximately 1,400 people attended these hearings, and 293 individuals testified.  The dates and locations for the public hearings were—Challis, Idaho and Hamilton, Montana (October 1); Missoula, Montana and Lewiston, Idaho (October 2); Boise, Idaho and Helena, Montana (October 3); and Salmon, Idaho (October 8).  In addition, we held meetings with local community leaders, State leaders, and interest groups in communities around the perimeter of the proposed Recovery Area.</w:t>
      </w:r>
    </w:p>
    <w:p w14:paraId="2E566DD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4BFBEC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Over 24,000 individuals, organizations, and government agencies provided comments on the two draft documents.  These comments arrived in over 2,660 letters,  Draft EIS summary forms, resolutions, and hearing testimonies.  The comments received included 10 petitions with over 21,000 signatures and 15 form letters.  An interagency team of 14 employees from the Fish and Wildlife Service and the Forest Service conducted an analysis of the public comments on the Draft EIS and proposed rule in December 1997 through January 1998.  We made a concerted effort to ensure that the methods used to analyze public comments were objective, reliable and traceable.  We prepared a detailed summary report, "Summary of Public Comments on the Draft Environmental Impact Statement for Grizzly Bear Recovery in the Bitterroot Ecosystem" and an executive summary report of 24,251 public comments and released it to the public in April, 1998 (U.S. Fish and Wildlife Service 1998).</w:t>
      </w:r>
    </w:p>
    <w:p w14:paraId="0B066F3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0E5A78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We reviewed and considered all written and oral comments relating to the proposed rule.  Comments that specifically addressed the proposed rule were made in 33 individual letters.  Numerous other comments on the draft EIS were specific to the proposed rule or related management considerations.  These comments also were considered in our review of the proposed rule.  We include a detailed summary of the significant issues raised in public comments on the Draft EIS and the proposed rule, and our response to those issues in Chapter 5 of the Final EIS.  The following summary of key changes made to the final rule as a result of issues raised in public comments on the proposed rule is abbreviated from the Final EIS Chapter 5 discussion of public comments.  Refer to the Final EIS and “Summary of Public Comments on the Draft Environmental Impact Statement for Grizzly Bear Recovery in the Bitterroot Ecosystem” </w:t>
      </w:r>
      <w:r>
        <w:rPr>
          <w:rFonts w:ascii="Times New Roman" w:hAnsi="Times New Roman" w:cs="Times New Roman"/>
          <w:color w:val="auto"/>
          <w:sz w:val="24"/>
          <w:szCs w:val="24"/>
        </w:rPr>
        <w:lastRenderedPageBreak/>
        <w:t xml:space="preserve">for a more comprehensive discussion of public comments on the proposed rule and Draft EIS.  Both documents are available to the public (see </w:t>
      </w:r>
      <w:r>
        <w:rPr>
          <w:rFonts w:ascii="Times New Roman" w:hAnsi="Times New Roman" w:cs="Times New Roman"/>
          <w:b/>
          <w:bCs/>
          <w:color w:val="auto"/>
          <w:sz w:val="24"/>
          <w:szCs w:val="24"/>
        </w:rPr>
        <w:t>ADDRESSES</w:t>
      </w:r>
      <w:r>
        <w:rPr>
          <w:rFonts w:ascii="Times New Roman" w:hAnsi="Times New Roman" w:cs="Times New Roman"/>
          <w:color w:val="auto"/>
          <w:sz w:val="24"/>
          <w:szCs w:val="24"/>
        </w:rPr>
        <w:t xml:space="preserve"> section).  </w:t>
      </w:r>
    </w:p>
    <w:p w14:paraId="5558233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314B813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Key Changes in Final Rule as a Result of Public Comment</w:t>
      </w:r>
    </w:p>
    <w:p w14:paraId="38A825F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5C4730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We made the following key changes and clarifications to the final rule or to discussions in the final rule based on public comments received on the proposed rule.  These changes, individually and cumulatively, do not alter the predicted effect of the final rule.</w:t>
      </w:r>
    </w:p>
    <w:p w14:paraId="7C7DC3A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FC713D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1.  In response to the issues of how and where the experimental population of grizzly bears will be managed, we clarified and defined several terms in the final rule including "recovery emphasis," "accommodate," and "Recovery Area."  A statement was added regarding the potential for consideration of future designated Wilderness areas for inclusion in the Recovery Area.</w:t>
      </w:r>
    </w:p>
    <w:p w14:paraId="1351E26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7681AA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2.  In response to the issue of effects of grizzly bears on livestock, we clarified the types of harassment permitted including the use of livestock guard dogs around livestock.</w:t>
      </w:r>
    </w:p>
    <w:p w14:paraId="7FD4700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3DBCA0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3.  The following clarifications/additions respond to the issue of human safety.  If a grizzly bear enters the Bitterroot Valley exclusion area, State and Federal wildlife management agencies will attempt to capture it and notify the public of its presence, and the public will be kept updated until the bear is caught.  Further, any grizzly bear that occupies inhabited human settlement areas on private land within the Experimental </w:t>
      </w:r>
      <w:r>
        <w:rPr>
          <w:rFonts w:ascii="Times New Roman" w:hAnsi="Times New Roman" w:cs="Times New Roman"/>
          <w:color w:val="auto"/>
          <w:sz w:val="24"/>
          <w:szCs w:val="24"/>
        </w:rPr>
        <w:lastRenderedPageBreak/>
        <w:t xml:space="preserve">Population Area that presents a clear threat to human safety or where there is indication that it may become habituated to humans, may be relocated by management agencies.  </w:t>
      </w:r>
    </w:p>
    <w:p w14:paraId="71E2AC5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FFA3CC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4.  We added a clarification regarding how we would calculate a refined recovery goal for the Bitterroot experimental population.  The proposed rule indicated that, if the Committee refines the recovery goal for the Bitterroot grizzly bear population after grizzly bears are reintroduced and occupy suitable habitats in the Experimental Population Area, the recovery goal will be consistent with the habitat available within the Recovery Area.  We will consider additional adjacent areas of public land for contribution of suitable grizzly bear habitat for recovery when setting the recovery goal if it is shown to be necessary by the best scientific and commercial data available. </w:t>
      </w:r>
    </w:p>
    <w:p w14:paraId="5DF985F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895240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5.  We added several clarifications/changes to the Committee structure and function.  We made these changes in response to the following public comment issues—1) how the Committee will be selected; 2) the need for scientific expertise on the Committee; 3) the need for clarification regarding mission, operations, and authority of the Committee; 4) the need for further insulation of the Committee from political influence; and 5) the need for a process to resolve conflicts between the Secretary and the Committee.  The corresponding clarifications/changes are listed below:</w:t>
      </w:r>
    </w:p>
    <w:p w14:paraId="1C931AF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27D94E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(a)  The Governors of Idaho and Montana will include written documentation of the qualifications of each person they nominate to the Secretary.</w:t>
      </w:r>
    </w:p>
    <w:p w14:paraId="36C707D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C8572D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(b)  The Secretary will appoint two scientific advisors to the Committee as non-voting members, to attend all meetings and provide scientific expertise in support of </w:t>
      </w:r>
      <w:r>
        <w:rPr>
          <w:rFonts w:ascii="Times New Roman" w:hAnsi="Times New Roman" w:cs="Times New Roman"/>
          <w:color w:val="auto"/>
          <w:sz w:val="24"/>
          <w:szCs w:val="24"/>
        </w:rPr>
        <w:lastRenderedPageBreak/>
        <w:t>Committee management recommendations.</w:t>
      </w:r>
    </w:p>
    <w:p w14:paraId="7694705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7A75EB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(c) We added Mission and Operating Guidelines Statements for the Committee.</w:t>
      </w:r>
    </w:p>
    <w:p w14:paraId="2AE9CF3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6BFACC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(d) The Committee will implement the Bitterroot Chapter of the Recovery Plan in accordance with the Final Rule.  The Committee may also make recommendations to land and wildlife management agencies regarding changes to plans and policies, but the final decision on implementation of those recommendations will be made by those agencies, and the requirements of the National Environmental Policy Act may apply.</w:t>
      </w:r>
    </w:p>
    <w:p w14:paraId="625322E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A6FF4D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(e) We changed the procedure whereby the Secretary can assume lead management implementation responsibility from the Committee if he/she determines its decisions are not leading to recovery.  The Service representative will consider Committee input before making any determination that Committee actions are not leading to recovery.  If our representative determines the actions of the Committee are not leading to recovery of the Bitterroot population, we will recommend alternative or corrective actions and provide 6 months for the Committee to accomplish them.  If the Committee rejects those corrective actions, our representative will convene a Scientific Review Panel of three (panel).  Our representative will consider the views of all Committee members prior to making a recommendation on initiating a panel review.  Our representative will then submit to the panel for peer review those Committee actions that he/she has determined are not leading to recovery or are not in compliance with the special rule.  </w:t>
      </w:r>
    </w:p>
    <w:p w14:paraId="24113AB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406716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Secretary will select one member of the panel, and the Governors of Idaho </w:t>
      </w:r>
      <w:r>
        <w:rPr>
          <w:rFonts w:ascii="Times New Roman" w:hAnsi="Times New Roman" w:cs="Times New Roman"/>
          <w:color w:val="auto"/>
          <w:sz w:val="24"/>
          <w:szCs w:val="24"/>
        </w:rPr>
        <w:lastRenderedPageBreak/>
        <w:t xml:space="preserve">and Montana in consultation with the Universities of Idaho and Montana (respectively) will select one panel member each.  The panel will review issues and make timely recommendations to the Committee as to whether Committee actions are in compliance with the special rule.   The basis for the panel’s recommendations will be Committee compliance with the special rule and the achievement of the recovery goal(s).  If, after timely review,  the Committee rejects the recommendations of the panel, and our representative determines the Committee actions are not leading to recovery of the Bitterroot population, he/she will notify the Secretary.  The Secretary will consider the panel’s recommendations, and if he/she decides to resume lead management responsibility, he/she will seek consultation with the Governors of Idaho and Montana to review with them the reasons for his/her decision, and further attempt to resolve the discrepancies between his/her suggested alternatives and the actions or decisions of the Committee.  If the Secretary resumes lead management responsibility, he/she will take appropriate actions to assure there is an adequate regulatory process relating to the Department of the Interior management of grizzly bears, and we will publish a Notice in the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explaining the rationale for the determination and notify the Governors of Idaho and Montana.  The Notice will effectively disband the Committee and nullify all requirements regarding the Committee identified in the special rule.</w:t>
      </w:r>
    </w:p>
    <w:p w14:paraId="463A082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B5700A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Status of Reintroduced Grizzly Bears and Conclusion</w:t>
      </w:r>
    </w:p>
    <w:p w14:paraId="13BFF92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6C53C4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If the status of the grizzly bear in the Bitterroot Ecosystem is changed to threatened or endangered under the Act as a result of legal action or lawsuits, we will remove from the wild all reintroduced grizzly bears designated as nonessential experimental and revoke the pertinent regulations on the experimental population.</w:t>
      </w:r>
    </w:p>
    <w:p w14:paraId="17A57E9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2F5BBF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We do not foresee any likely situation that would require us to change the nonessential experimental status until the grizzly bear is recovered and delisted in the Bitterroot Ecosystem according to provisions outlined in the Recovery Plan.</w:t>
      </w:r>
    </w:p>
    <w:p w14:paraId="683A035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4A0364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Based on the above information, and using the best scientific and commercial data available (in accordance with 50 CFR 17.81), we find that reintroducing grizzly bears into the Bitterroot Ecosystem will further the conservation and recovery of the species.</w:t>
      </w:r>
    </w:p>
    <w:p w14:paraId="614EB7F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23F4D38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263B67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Required Determinations</w:t>
      </w:r>
    </w:p>
    <w:p w14:paraId="465CA81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BA9233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2B7FF6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Regulatory Planning and Review</w:t>
      </w:r>
    </w:p>
    <w:p w14:paraId="77CE860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8F7E84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In accordance with Executive Order 12866, we submitted this action for review by the Office of Management and Budget.  This rule will not have an annual economic effect of $100 million or adversely affect an economic sector, productivity, jobs, the environment, or other units of government. </w:t>
      </w:r>
    </w:p>
    <w:p w14:paraId="69968E7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FE508B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rule would allow liberal management of grizzly bears by government agencies and the public to minimize conflicts over uses of public lands, effects on domestic animals and livestock, and impacts on ungulate populations.  A citizen management Committee would be authorized management implementation responsibility for the experimental population and would be tasked with implementing the Bitterroot </w:t>
      </w:r>
      <w:r>
        <w:rPr>
          <w:rFonts w:ascii="Times New Roman" w:hAnsi="Times New Roman" w:cs="Times New Roman"/>
          <w:color w:val="auto"/>
          <w:sz w:val="24"/>
          <w:szCs w:val="24"/>
        </w:rPr>
        <w:lastRenderedPageBreak/>
        <w:t xml:space="preserve">Chapter of the Grizzly Bear Recovery Plan. Reintroduction could result in grizzly bear recovery in the BE (achievement of the tentative recovery goal of approximately 280 grizzly bears occupying suitable habitat) in a minimum of 50 years (4% growth rate), but would likely be more than 110 years (2% growth rate after the bears were released.  </w:t>
      </w:r>
    </w:p>
    <w:p w14:paraId="208BE38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1A5128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area affected by this rule consists of a limited area of mostly designated wilderness and surrounding lands in east central Idaho and western Montana, the Bitterroot Ecosystem (BE).  The BE, as characterized by data from 10 counties in central Idaho and 4 counties in western Montana  is approximately 44,419 square miles and 76% Federal land.  The area has a population of 240,928, has a $4.6 billion local economy, has 440,572 cattle and sheep (298,000 are grazed on national forest), has about 274,359 ungulates, with a hunter harvest 28,023, and receives approximately 13,268,395 recreational visits annually to national forests in the area. </w:t>
      </w:r>
    </w:p>
    <w:p w14:paraId="24C4A66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72F88D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An analysis of the effects of grizzly restoration into the Bitterroot Ecosystem entails examining each potential source of economic costs or benefits and estimating its net economic effect.  The areas of potential economic effects examined for this rule are the following: (1) effects on hunter harvest, (2) effects on livestock depredation, (3) effects on land use restrictions, (4) effects on visitor use, and (5) effects on existence values.  Each of these potential economic effects are discussed below in more detail.</w:t>
      </w:r>
    </w:p>
    <w:p w14:paraId="65A1836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03A3A4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One of the potential effects of grizzly restoration to the BE is on big game hunting opportunities in hunting units/districts in or near the recovery area.  Grizzly bear recovery is not expected to have any significant effect on huntable populations of ungulates in the BE.  It is not expected that restrictions on black bear hunting in </w:t>
      </w:r>
      <w:r>
        <w:rPr>
          <w:rFonts w:ascii="Times New Roman" w:hAnsi="Times New Roman" w:cs="Times New Roman"/>
          <w:color w:val="auto"/>
          <w:sz w:val="24"/>
          <w:szCs w:val="24"/>
        </w:rPr>
        <w:lastRenderedPageBreak/>
        <w:t>wilderness areas would occur.  However, hunters could suffer an economic loss associated with grizzly restoration if future restrictions on black bear hunting in the recovery area result in a decrease in total days spent hunting black bears in the region. Based on the most pessimistic assumptions of reduced hunter effort and an estimated net economic value per hunting day of $63.81, it can be estimated that an elimination of baiting and dog hunting of black bears in the recovery zone could lead to a loss of $288.7 thousand dollars per year in net economic value associated with bear hunting.</w:t>
      </w:r>
    </w:p>
    <w:p w14:paraId="54DB141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39F26E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A second area of potential costs associated with grizzly restoration to the BE is the possibility of livestock depredation by the recovered grizzly population.  The calculation of lost value due to this depredation is straightforward.  The lost value per year is equal to the estimated number of lost animals per year times the market value of those animals.  Grizzly depredation on domestick livestock would likely be minimal during the estimated 50-110+ years until the population of grizzly bears in the BE is fully recovered.  It is estimated that after a recovered population of 280 grizzly bears is achieved, depredation incidents involving livestock would be between 4 and 8 cattle and between 5 and 44 sheep per year.  Prior to full recovery depredation losses are expected to be below these estimated levels.  It is estimated that between $2,720 and $8,568 dollars per year in livestock predation losses would occur as shown in Table 1.</w:t>
      </w:r>
    </w:p>
    <w:p w14:paraId="3BA34A2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260678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t xml:space="preserve">It is expected that any land use restrictions due to the restoration of grizzly bears to the BE would not result in lost economic value in recreational activities, timber harvest, or mineral extraction.  While some visitors may be inconvenienced due to occasional temporary trail closures, this inconvenience is unlikely to result in any appreciable loss of economic value.  However, one aspect of restrictions on recreation </w:t>
      </w:r>
      <w:r>
        <w:rPr>
          <w:rFonts w:ascii="Times New Roman" w:hAnsi="Times New Roman" w:cs="Times New Roman"/>
          <w:color w:val="auto"/>
          <w:sz w:val="24"/>
          <w:szCs w:val="24"/>
        </w:rPr>
        <w:lastRenderedPageBreak/>
        <w:t>which would have distributional effects within the economy concerns the potential imposition of regulations requiring outfitters operating within the recovery area and backcountry recreationists to include horsepackers and river rafters, to use bear-proof garbage and food containers and methods when in the backcountry.  The purchase of bear-proof containers or hoists would impose an additional expense on the outfitters operating within the recovery area and individual backcountry recreationists.  These costs would represent transfers of income between the outfitters and backcountry users, and those individuals or firms producing and selling bear-proof products.</w:t>
      </w:r>
    </w:p>
    <w:p w14:paraId="476F6F3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90A896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Timber harvest is a land use activity that can be compatible with bear recovery as long as it meets the standards and guidelines of the USFS Forest Plans.  Current USFS Forest Plans for Clearwater and Nez Perce National Forests outside of wilderness areas are adequate for grizzly bear recovery and it is not anticipated that there would be an economic effect on current timber harvest plans due to this grizzly bear reintroduction.  Similarly, mineral extraction would not likely be altered due to grizzly bear recovery in the BE and would not have any effect on mineral extraction in the area.</w:t>
      </w:r>
    </w:p>
    <w:p w14:paraId="4445AE3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038B17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Grizzly bears are a high profile species with interest nationwide.  A survey of Yellowstone National Park visitors found that respondents ranked the grizzly bear highest among wildlife species they would most like to see on their trip to the park.  Restoration of grizzly bears in the BE would further increase national awareness of the presence of this species in the lower 48 states.  While some individuals might wish to see a grizzly bear in the wild, others might wish to avoid the possibility of encountering one.  Possible effects of this increased awareness might be increased or decreased visitation to the recovery area.  A survey was conducted to see if different groups of respondents would </w:t>
      </w:r>
      <w:r>
        <w:rPr>
          <w:rFonts w:ascii="Times New Roman" w:hAnsi="Times New Roman" w:cs="Times New Roman"/>
          <w:color w:val="auto"/>
          <w:sz w:val="24"/>
          <w:szCs w:val="24"/>
        </w:rPr>
        <w:lastRenderedPageBreak/>
        <w:t xml:space="preserve">change their visitation patterns to the BE if grizzly bears were present.  A majority of the respondents indicated that the presence of grizzly bears would not change their visitation pattern to the BE while respondents closest to the recovery area were the most apprehensive about visiting the BE with grizzly bears present.  Nearly 12% of the respondents said they would visit the BE less often with bears present while only 1.8% said they would visit more often.  Based on survey results, no significant increase or decrease in visitation to the BE resulting from restoration is anticipated. </w:t>
      </w:r>
    </w:p>
    <w:p w14:paraId="59FC30D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AEB6EF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In summary, a recovered grizzly bear population, which could take 50 to 110+ years, would kill about 6 cattle (4-8) and 25 sheep (5-44), and up to 504 ungulates per year.  This would not measurably impact ungulate populations or hunter harvest.  Nuisance bear incidents could be up to 37 (0-74) per year.  There would be no anticipated impacts to land use activities on public or private land, to include timber harvest, mining, and public access/recreational use.  Changes to hunting seasons could occur due to conflicts.  Risk to human health and safety from a recovered grizzly bear population would be less than 1 injury per year and less than 1 human mortality every few decades.  Economic analyses indicate grizzly bear recovery in the BE would lead to a total net economic benefits of 40.4-60.6 million dollars per year and total costs of $195,720-$201,568 per year (costs during the initial 5-year reintroduction phase would be $436,352-$442,200 per year).  (Source: Grizzly Bear Recovery in the Bitterroot Ecosystem Final Environmental Impact Statement) </w:t>
      </w:r>
    </w:p>
    <w:p w14:paraId="750BF98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770920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i/>
          <w:iCs/>
          <w:color w:val="auto"/>
          <w:sz w:val="24"/>
          <w:szCs w:val="24"/>
        </w:rPr>
      </w:pPr>
      <w:r>
        <w:rPr>
          <w:rFonts w:ascii="Times New Roman" w:hAnsi="Times New Roman" w:cs="Times New Roman"/>
          <w:color w:val="auto"/>
          <w:sz w:val="24"/>
          <w:szCs w:val="24"/>
        </w:rPr>
        <w:tab/>
        <w:t xml:space="preserve">This rule will not create inconsistencies with other agencies’ actions.  Section 10(j) of the Act provides the Service with considerable discretion in reducing both interagency consultation requirements (with other Federal agencies) and “taking” </w:t>
      </w:r>
      <w:r>
        <w:rPr>
          <w:rFonts w:ascii="Times New Roman" w:hAnsi="Times New Roman" w:cs="Times New Roman"/>
          <w:color w:val="auto"/>
          <w:sz w:val="24"/>
          <w:szCs w:val="24"/>
        </w:rPr>
        <w:lastRenderedPageBreak/>
        <w:t xml:space="preserve">restrictions under provisions of sections 7(a)(2) and 4(d) of the Act, respectively.  Species covered under NEP designations, with the exception of those found on National Park or National Wildlife Refuge System units require only conferencing between Federal action agencies and the Service.   Taking prohibitions may be modified to allow otherwise lawful activities (in this case Federal actions) to continue, even if take of the nonessential individuals is anticipated.  Because of the substantial regulatory relief provided by NEP designations, the Service does not believe the reintroduction of these bears would conflict with existing or proposed human activities or hinder public use of the Bitterroot Ecosystem.  </w:t>
      </w:r>
    </w:p>
    <w:p w14:paraId="649FC6A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095BF6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i/>
          <w:iCs/>
          <w:color w:val="auto"/>
          <w:sz w:val="24"/>
          <w:szCs w:val="24"/>
        </w:rPr>
      </w:pPr>
      <w:r>
        <w:rPr>
          <w:rFonts w:ascii="Times New Roman" w:hAnsi="Times New Roman" w:cs="Times New Roman"/>
          <w:color w:val="auto"/>
          <w:sz w:val="24"/>
          <w:szCs w:val="24"/>
        </w:rPr>
        <w:tab/>
        <w:t>This rule will not materially affect entitlements, grants, user fees, loan programs, or the rights and obligations of their recipients.  Because we expect minimal impacts or restrictions to existing human uses of the Bitterroot Ecosystem as a result of this rule, we expect no entitlements, grants, user fees, loan programs, or impacts to the rights and obligations of their recipients to occur.</w:t>
      </w:r>
    </w:p>
    <w:p w14:paraId="6BDCA31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A6A816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This rule</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 xml:space="preserve">will not raise novel legal or policy issues.  The Service has previously promulgated more than a dozen section 10(j) rules for experimental populations of other listed threatened and endangered species in various localities since 1984.  The rules are designed to reduce the regulatory burden that would otherwise exist when reintroducing listed species in the wild. </w:t>
      </w:r>
    </w:p>
    <w:p w14:paraId="32F4100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5817F02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Regulatory Flexibility Act</w:t>
      </w:r>
      <w:r>
        <w:rPr>
          <w:rFonts w:ascii="Times New Roman" w:hAnsi="Times New Roman" w:cs="Times New Roman"/>
          <w:color w:val="auto"/>
          <w:sz w:val="24"/>
          <w:szCs w:val="24"/>
        </w:rPr>
        <w:t xml:space="preserve"> (5 U.S.C. 601 </w:t>
      </w:r>
      <w:r>
        <w:rPr>
          <w:rFonts w:ascii="Times New Roman" w:hAnsi="Times New Roman" w:cs="Times New Roman"/>
          <w:color w:val="auto"/>
          <w:sz w:val="24"/>
          <w:szCs w:val="24"/>
          <w:u w:val="single"/>
        </w:rPr>
        <w:t>et</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seq</w:t>
      </w:r>
      <w:r>
        <w:rPr>
          <w:rFonts w:ascii="Times New Roman" w:hAnsi="Times New Roman" w:cs="Times New Roman"/>
          <w:color w:val="auto"/>
          <w:sz w:val="24"/>
          <w:szCs w:val="24"/>
        </w:rPr>
        <w:t>.)</w:t>
      </w:r>
    </w:p>
    <w:p w14:paraId="2964DB9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1D48038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The rule will not have a significant economic effect on a substantial number of </w:t>
      </w:r>
      <w:r>
        <w:rPr>
          <w:rFonts w:ascii="Times New Roman" w:hAnsi="Times New Roman" w:cs="Times New Roman"/>
          <w:color w:val="auto"/>
          <w:sz w:val="24"/>
          <w:szCs w:val="24"/>
        </w:rPr>
        <w:lastRenderedPageBreak/>
        <w:t xml:space="preserve">small entities under the Regulatory Flexibility Act (5 U.S.C. 601 </w:t>
      </w:r>
      <w:r>
        <w:rPr>
          <w:rFonts w:ascii="Times New Roman" w:hAnsi="Times New Roman" w:cs="Times New Roman"/>
          <w:color w:val="auto"/>
          <w:sz w:val="24"/>
          <w:szCs w:val="24"/>
          <w:u w:val="single"/>
        </w:rPr>
        <w:t>et</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seq</w:t>
      </w:r>
      <w:r>
        <w:rPr>
          <w:rFonts w:ascii="Times New Roman" w:hAnsi="Times New Roman" w:cs="Times New Roman"/>
          <w:color w:val="auto"/>
          <w:sz w:val="24"/>
          <w:szCs w:val="24"/>
        </w:rPr>
        <w:t xml:space="preserve">.).  There are 4,327 farms within the 14 counties covering the Bitterroot grizzly bear primary analysis area in central Idaho and western Montana.  As discussed above, grizzly depredation on domestic livestock would likely be minimal during the estimated 50-110+ years until the population of grizzly bears in the BE is fully recovered.  It is estimated that after a recovered population of 280 grizzly bears is achieved, depredation incidents involving livestock would be between 4 and 8 cattle and between 5 and 44 sheep per year.  Prior to full recovery, depredation losses are expected to be below these estimated levels.  In a worst case situation, depredation could impact 52 out 4,327 farms which would not be considered significant. (Source: Grizzly Bear Recovery in the Bitterroot Ecosystem Final Environmental Impact Statement, 2000) </w:t>
      </w:r>
    </w:p>
    <w:p w14:paraId="6EBBE7D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9BA443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Small Business Regulatory Enforcement Fairness Act</w:t>
      </w:r>
      <w:r>
        <w:rPr>
          <w:rFonts w:ascii="Times New Roman" w:hAnsi="Times New Roman" w:cs="Times New Roman"/>
          <w:color w:val="auto"/>
          <w:sz w:val="24"/>
          <w:szCs w:val="24"/>
        </w:rPr>
        <w:t xml:space="preserve"> (5 U.S.C. 804(2))</w:t>
      </w:r>
    </w:p>
    <w:p w14:paraId="39D746B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2C1EEA6"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In the economic analysis, we determined that designation of a nonessential experimental population of grizzly bears in the Bitterroot Ecosystem will not cause</w:t>
      </w:r>
      <w:r>
        <w:rPr>
          <w:rFonts w:ascii="Times New Roman" w:hAnsi="Times New Roman" w:cs="Times New Roman"/>
          <w:color w:val="auto"/>
          <w:sz w:val="24"/>
          <w:szCs w:val="24"/>
        </w:rPr>
        <w:noBreakHyphen/>
      </w:r>
      <w:r>
        <w:rPr>
          <w:rFonts w:ascii="Times New Roman" w:hAnsi="Times New Roman" w:cs="Times New Roman"/>
          <w:color w:val="auto"/>
          <w:sz w:val="24"/>
          <w:szCs w:val="24"/>
        </w:rPr>
        <w:noBreakHyphen/>
        <w:t>(a) any effect on the economy of $100 million or more; (b) any major increases in costs or prices for consumers; individual industries; Federal, State, or local government agencies; or geographic regions in the economic analysis; or (c) any significant adverse effects on competition, employment, investment, productivity, innovation, or the ability of U.S.</w:t>
      </w:r>
      <w:r>
        <w:rPr>
          <w:rFonts w:ascii="Times New Roman" w:hAnsi="Times New Roman" w:cs="Times New Roman"/>
          <w:color w:val="auto"/>
          <w:sz w:val="24"/>
          <w:szCs w:val="24"/>
        </w:rPr>
        <w:noBreakHyphen/>
        <w:t>based enterprises to compete with foreign</w:t>
      </w:r>
      <w:r>
        <w:rPr>
          <w:rFonts w:ascii="Times New Roman" w:hAnsi="Times New Roman" w:cs="Times New Roman"/>
          <w:color w:val="auto"/>
          <w:sz w:val="24"/>
          <w:szCs w:val="24"/>
        </w:rPr>
        <w:noBreakHyphen/>
        <w:t xml:space="preserve">based enterprises.  Based upon the analysis of identified factors, the Service has determined that: No individual industries within the United States will be significantly affected, and no changes in the demography of populations are anticipated.  The intent of this special rule is to facilitate and continue the existing commercial activity while providing for the conservation of species through </w:t>
      </w:r>
      <w:r>
        <w:rPr>
          <w:rFonts w:ascii="Times New Roman" w:hAnsi="Times New Roman" w:cs="Times New Roman"/>
          <w:color w:val="auto"/>
          <w:sz w:val="24"/>
          <w:szCs w:val="24"/>
        </w:rPr>
        <w:lastRenderedPageBreak/>
        <w:t xml:space="preserve">reintroduction to suitable habitat.  The Service has therefore determined that the rule will not have a significant economic effect on a substantial number of small entities as defined in the Regulatory Flexibility Act, 5 U.S.C. 601, </w:t>
      </w:r>
      <w:r>
        <w:rPr>
          <w:rFonts w:ascii="Times New Roman" w:hAnsi="Times New Roman" w:cs="Times New Roman"/>
          <w:color w:val="auto"/>
          <w:sz w:val="24"/>
          <w:szCs w:val="24"/>
          <w:u w:val="single"/>
        </w:rPr>
        <w:t>et</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seq</w:t>
      </w:r>
      <w:r>
        <w:rPr>
          <w:rFonts w:ascii="Times New Roman" w:hAnsi="Times New Roman" w:cs="Times New Roman"/>
          <w:color w:val="auto"/>
          <w:sz w:val="24"/>
          <w:szCs w:val="24"/>
        </w:rPr>
        <w:t>., so a small entity flexibility analysis study is not necessary.</w:t>
      </w:r>
    </w:p>
    <w:p w14:paraId="34ED00F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349DE98"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3ED13C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Unfunded Mandates Reform Act</w:t>
      </w:r>
      <w:r>
        <w:rPr>
          <w:rFonts w:ascii="Times New Roman" w:hAnsi="Times New Roman" w:cs="Times New Roman"/>
          <w:color w:val="auto"/>
          <w:sz w:val="24"/>
          <w:szCs w:val="24"/>
        </w:rPr>
        <w:t xml:space="preserve"> (2 U.S.C. 1501 </w:t>
      </w:r>
      <w:r>
        <w:rPr>
          <w:rFonts w:ascii="Times New Roman" w:hAnsi="Times New Roman" w:cs="Times New Roman"/>
          <w:color w:val="auto"/>
          <w:sz w:val="24"/>
          <w:szCs w:val="24"/>
          <w:u w:val="single"/>
        </w:rPr>
        <w:t>et</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seq</w:t>
      </w:r>
      <w:r>
        <w:rPr>
          <w:rFonts w:ascii="Times New Roman" w:hAnsi="Times New Roman" w:cs="Times New Roman"/>
          <w:color w:val="auto"/>
          <w:sz w:val="24"/>
          <w:szCs w:val="24"/>
        </w:rPr>
        <w:t>.)</w:t>
      </w:r>
    </w:p>
    <w:p w14:paraId="791DB49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3A5947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We have determined and certified pursuant to the Unfunded Mandates Act, 2 U.S.C. 1502 </w:t>
      </w:r>
      <w:r>
        <w:rPr>
          <w:rFonts w:ascii="Times New Roman" w:hAnsi="Times New Roman" w:cs="Times New Roman"/>
          <w:color w:val="auto"/>
          <w:sz w:val="24"/>
          <w:szCs w:val="24"/>
          <w:u w:val="single"/>
        </w:rPr>
        <w:t>et</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seq</w:t>
      </w:r>
      <w:r>
        <w:rPr>
          <w:rFonts w:ascii="Times New Roman" w:hAnsi="Times New Roman" w:cs="Times New Roman"/>
          <w:color w:val="auto"/>
          <w:sz w:val="24"/>
          <w:szCs w:val="24"/>
        </w:rPr>
        <w:t xml:space="preserve">., that this final rulemaking will not impose a cost of $100 million or more in any given year on local or State governments or private entities.   </w:t>
      </w:r>
    </w:p>
    <w:p w14:paraId="023C8480"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management responsibility for the reintroduced population will rest with a citizen management committee created by the Secretary.  This committee will involve the local people in the management and implementation of recovery of this population. Funding for the function of this committee and the management of the reintroduced bears will come from the Service.</w:t>
      </w:r>
    </w:p>
    <w:p w14:paraId="66B3E6FC"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EB12C2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DF71C5A"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Takings</w:t>
      </w:r>
    </w:p>
    <w:p w14:paraId="5C074FC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F8D8AF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In accordance with Executive Order 12630, this rule does not have significant takings implications, and a takings implication assessment is not required.  This designation will not “take” private property and will not alter the value of private property.   More than 75% of the area included in the nonessential experimental population area is on Federal lands.</w:t>
      </w:r>
    </w:p>
    <w:p w14:paraId="141A277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A68B70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Federalism</w:t>
      </w:r>
    </w:p>
    <w:p w14:paraId="2E4172B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FDB7A2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In accordance with Executive Order 13132, this rule will not affect the structure or role of States and will not have direct, substantial, or significant effects on States. Also, our economic analysis indicates that considerable economic benefits would result from the designation.</w:t>
      </w:r>
    </w:p>
    <w:p w14:paraId="41EAEF0F"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CE1DCB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In keeping with Department of the Interior and Department of Commerce policy, the Service requested information from and coordinated development of the proposal with appropriate State resource agencies in Idaho and Montana.  In addition, both States participated in the development of the Draft EIS.  The Service will continue to coordinate any future designation of experimental population status with the appropriate State agencies.</w:t>
      </w:r>
    </w:p>
    <w:p w14:paraId="2FDCBF7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42A9ABD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Civil Justice Reform</w:t>
      </w:r>
    </w:p>
    <w:p w14:paraId="02333E9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2F5D42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In accordance with Executive Order 12988, we have further determined that this regulation does not unduly burden the judicial system and meets the applicable standards provided in sections 3(a) and 3(b)(2) of Executive Order 12988.  We have made every effort to ensure that this final determination contains no drafting errors, provides clear standards, simplifies procedures, reduces burden, and is clearly written such that litigation risk is minimized.</w:t>
      </w:r>
    </w:p>
    <w:p w14:paraId="2BD85162"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24B6E115"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16E5B59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lastRenderedPageBreak/>
        <w:t xml:space="preserve">Paperwork Reduction Act of 1995 </w:t>
      </w:r>
      <w:r>
        <w:rPr>
          <w:rFonts w:ascii="Times New Roman" w:hAnsi="Times New Roman" w:cs="Times New Roman"/>
          <w:color w:val="auto"/>
          <w:sz w:val="24"/>
          <w:szCs w:val="24"/>
        </w:rPr>
        <w:t xml:space="preserve">(44 U.S.C. 3501 </w:t>
      </w:r>
      <w:r>
        <w:rPr>
          <w:rFonts w:ascii="Times New Roman" w:hAnsi="Times New Roman" w:cs="Times New Roman"/>
          <w:color w:val="auto"/>
          <w:sz w:val="24"/>
          <w:szCs w:val="24"/>
          <w:u w:val="single"/>
        </w:rPr>
        <w:t>et</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seq</w:t>
      </w:r>
      <w:r>
        <w:rPr>
          <w:rFonts w:ascii="Times New Roman" w:hAnsi="Times New Roman" w:cs="Times New Roman"/>
          <w:color w:val="auto"/>
          <w:sz w:val="24"/>
          <w:szCs w:val="24"/>
        </w:rPr>
        <w:t>.)</w:t>
      </w:r>
    </w:p>
    <w:p w14:paraId="0573A52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4094112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This final rule contains collections of information requiring the approval of the Office of Management and Budget (OMB) under 44 U.S.C. 3501 </w:t>
      </w:r>
      <w:r>
        <w:rPr>
          <w:rFonts w:ascii="Times New Roman" w:hAnsi="Times New Roman" w:cs="Times New Roman"/>
          <w:color w:val="auto"/>
          <w:sz w:val="24"/>
          <w:szCs w:val="24"/>
          <w:u w:val="single"/>
        </w:rPr>
        <w:t>et</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seq</w:t>
      </w:r>
      <w:r>
        <w:rPr>
          <w:rFonts w:ascii="Times New Roman" w:hAnsi="Times New Roman" w:cs="Times New Roman"/>
          <w:color w:val="auto"/>
          <w:sz w:val="24"/>
          <w:szCs w:val="24"/>
        </w:rPr>
        <w:t xml:space="preserve">.  Authorization for this information collection has been approved by OMB and has been assigned control number 1018-0096.  The Service may not conduct or sponsor, and a person is not required to respond to a collection of information unless it displays a currently valid OMB control number.  </w:t>
      </w:r>
    </w:p>
    <w:p w14:paraId="0B62D74B"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9EA0EB7"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National Environmental Policy Act</w:t>
      </w:r>
    </w:p>
    <w:p w14:paraId="534384B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6046E1C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A Final EIS on the reintroduction of the grizzly bear in the Bitterroot Ecosystem has been prepared and is available to the public (see "ADDRESSES").  The Final EIS should be referred to for analysis of the Preferred Alternative chosen in the Record of Decision. </w:t>
      </w:r>
    </w:p>
    <w:p w14:paraId="1A4F8654"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7E0F67D"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0C5D1F89"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Government-to-Government Relationship with Tribes  </w:t>
      </w:r>
    </w:p>
    <w:p w14:paraId="6B8F83A3"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b/>
          <w:bCs/>
          <w:color w:val="auto"/>
          <w:sz w:val="24"/>
          <w:szCs w:val="24"/>
        </w:rPr>
      </w:pPr>
    </w:p>
    <w:p w14:paraId="7BB9FF3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In accordance with the President’s memorandum of April 29, 1994, “Government-to-Government Relations with Native American Tribal Governments” (59 FR 22951) and 512 DM 2, we have closely coordinated this rule with the Nez Perce Indian Tribe who have been involved in development of the rule, and have determined that there are no effects. </w:t>
      </w:r>
    </w:p>
    <w:p w14:paraId="2981F79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7A05393E"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rFonts w:ascii="Times New Roman" w:hAnsi="Times New Roman" w:cs="Times New Roman"/>
          <w:color w:val="auto"/>
          <w:sz w:val="24"/>
          <w:szCs w:val="24"/>
        </w:rPr>
      </w:pPr>
    </w:p>
    <w:p w14:paraId="3571FF5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b/>
          <w:bCs/>
          <w:color w:val="auto"/>
          <w:sz w:val="24"/>
          <w:szCs w:val="24"/>
        </w:rPr>
      </w:pPr>
      <w:r>
        <w:rPr>
          <w:rFonts w:ascii="Times New Roman" w:hAnsi="Times New Roman" w:cs="Times New Roman"/>
          <w:b/>
          <w:bCs/>
          <w:color w:val="auto"/>
          <w:sz w:val="24"/>
          <w:szCs w:val="24"/>
        </w:rPr>
        <w:t>Clarity of this regulation</w:t>
      </w:r>
    </w:p>
    <w:p w14:paraId="715DF50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b/>
          <w:bCs/>
          <w:color w:val="auto"/>
          <w:sz w:val="24"/>
          <w:szCs w:val="24"/>
        </w:rPr>
      </w:pPr>
    </w:p>
    <w:p w14:paraId="3C8E563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Executive Order 12866 requires each agency to write regulations that are easy to understand.  We invite your comments on how to make this rule easier to understand, including answers to questions such as the following: (1) Are the requirements in the rule clearly stated? (2) Does the rule contain technical language or jargon that interferes with its clarity? (3) Does the format of the rule (grouping or order of sections, use of headings, paragraphing, etc.) aid or reduce its clarity? (4) Would the rule be easier to understand if it were divided into more (but shorter) sections? (5) Is the description of the rule in the “Supplementary Information” section of the preamble helpful in understanding the proposed rule?  What else could we do to make the rule easier to understand? </w:t>
      </w:r>
    </w:p>
    <w:p w14:paraId="3B8DCD2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A0416D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Send a copy of any comments that concern how we could make this rule easier to understand to: Office of Regulatory Affairs, Department of Interior, Room 7229, 1849 C Street NW, Washington, DC 20240.  You may also e-mail the comments to this address:</w:t>
      </w:r>
    </w:p>
    <w:p w14:paraId="19ED803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t>Exsec@ios.doi.gov</w:t>
      </w:r>
    </w:p>
    <w:p w14:paraId="475B86D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D515C1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b/>
          <w:bCs/>
          <w:color w:val="auto"/>
          <w:sz w:val="24"/>
          <w:szCs w:val="24"/>
        </w:rPr>
      </w:pPr>
    </w:p>
    <w:p w14:paraId="5546EB1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 xml:space="preserve"> References Cited</w:t>
      </w:r>
    </w:p>
    <w:p w14:paraId="1CB4F007"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Kasworm, K.F. and C. Servheen.  1995.  Cabinet-Yaak ecosystem grizzly bear and black bear research 1994 progress report.  U.S. Fish and Wild. Serv., Missoula, Mont.  57pp.</w:t>
      </w:r>
    </w:p>
    <w:p w14:paraId="6468F1E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29149E42"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 xml:space="preserve">Melquist, W.  1985.  A preliminary survey to determine the status of grizzly bears </w:t>
      </w:r>
      <w:r>
        <w:rPr>
          <w:rFonts w:ascii="Times New Roman" w:hAnsi="Times New Roman" w:cs="Times New Roman"/>
          <w:color w:val="auto"/>
          <w:sz w:val="24"/>
          <w:szCs w:val="24"/>
        </w:rPr>
        <w:lastRenderedPageBreak/>
        <w:t>(</w:t>
      </w:r>
      <w:r>
        <w:rPr>
          <w:rFonts w:ascii="Times New Roman" w:hAnsi="Times New Roman" w:cs="Times New Roman"/>
          <w:color w:val="auto"/>
          <w:sz w:val="24"/>
          <w:szCs w:val="24"/>
          <w:u w:val="single"/>
        </w:rPr>
        <w:t>Ursus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arctos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horribilis</w:t>
      </w:r>
      <w:r>
        <w:rPr>
          <w:rFonts w:ascii="Times New Roman" w:hAnsi="Times New Roman" w:cs="Times New Roman"/>
          <w:color w:val="auto"/>
          <w:sz w:val="24"/>
          <w:szCs w:val="24"/>
        </w:rPr>
        <w:t>) in the Clearwater National Forest of Idaho.  Idaho Cooperative Fish and Wildlife Research Unit.  University of Idaho, Moscow.  54 pp.</w:t>
      </w:r>
    </w:p>
    <w:p w14:paraId="1708091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A50A8C5"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Melquist, W.  1998.  Letter to Dr. Chris Servheen clarifying conclusions of Melquist (1985).  Appendix 25 in Final Environmental Impact Statement  on Grizzly Bear Recovery in the Bitterroot Ecosystem.</w:t>
      </w:r>
    </w:p>
    <w:p w14:paraId="73674E0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D285E4B"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Moore, W.R.  1984.  Last of the Bitterroot grizzly.  Montana Magazine (November</w:t>
      </w:r>
      <w:r>
        <w:rPr>
          <w:rFonts w:ascii="Times New Roman" w:hAnsi="Times New Roman" w:cs="Times New Roman"/>
          <w:color w:val="auto"/>
          <w:sz w:val="24"/>
          <w:szCs w:val="24"/>
        </w:rPr>
        <w:noBreakHyphen/>
        <w:t>December): 8</w:t>
      </w:r>
      <w:r>
        <w:rPr>
          <w:rFonts w:ascii="Times New Roman" w:hAnsi="Times New Roman" w:cs="Times New Roman"/>
          <w:color w:val="auto"/>
          <w:sz w:val="24"/>
          <w:szCs w:val="24"/>
        </w:rPr>
        <w:noBreakHyphen/>
        <w:t>12.</w:t>
      </w:r>
    </w:p>
    <w:p w14:paraId="70B64CA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CA82BC4"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Moore, W.R.  1996.  The Lochsa story.  Mountain Publishing Company, Missoula, Montana.  461 pp.</w:t>
      </w:r>
    </w:p>
    <w:p w14:paraId="7AA3CA8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89E86F2"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Servheen, C., A. Hamilton, R. Knight, B. McLellan.  1991.  Report of the technical review team:  Evaluation of the Bitterroot and North Cascades to sustain viable grizzly bear populations.  Report to the Interagency Grizzly Bear Committee.  U.S. Fish and Wildlife Service, Boise, Idaho.  9 pp.</w:t>
      </w:r>
    </w:p>
    <w:p w14:paraId="74ABD85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F976721"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U.S. Fish and Wildlife Service.  1982.  Grizzly bear recovery plan.  U.S. Fish and Wildlife Service, Denver, Colorado.  195 pp.</w:t>
      </w:r>
    </w:p>
    <w:p w14:paraId="6E5C61F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927EA45"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U.S. Fish and Wildlife Service.  1993.  Grizzly bear recovery plan (revised).  U.S. Fish and Wildlife Service, Missoula, Montana.  181 pp.</w:t>
      </w:r>
    </w:p>
    <w:p w14:paraId="3B533E4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389AC4D"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U.S. Fish and Wildlife Service.  1996.  Bitterroot Ecosystem Recovery Plan Chapter </w:t>
      </w:r>
      <w:r>
        <w:rPr>
          <w:rFonts w:ascii="Times New Roman" w:hAnsi="Times New Roman" w:cs="Times New Roman"/>
          <w:color w:val="auto"/>
          <w:sz w:val="24"/>
          <w:szCs w:val="24"/>
        </w:rPr>
        <w:noBreakHyphen/>
        <w:t xml:space="preserve"> Supplement to the Grizzly Bear Recovery Plan.  U.S. Fish and Wildlife Service, Missoula, Montana.  27 pp.</w:t>
      </w:r>
    </w:p>
    <w:p w14:paraId="53A3AC6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91A18F4"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U.S. Fish and Wildlife Service.  1997.  Grizzly bear recovery in the Bitterroot Ecosystem.  Draft Environmental Impact Statement, Missoula, Montana.  464 pp.</w:t>
      </w:r>
    </w:p>
    <w:p w14:paraId="093C163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12C2F90"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 xml:space="preserve">U.S. Fish and Wildlife Service.  1997a.  Proposed Rule 10(j), Proposed Establishment of a Nonessential Experimental Population of Grizzly Bears in the Bitterroot Area of Idaho and Montana.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Volume 62, Number 127, pages 35762--35772. </w:t>
      </w:r>
    </w:p>
    <w:p w14:paraId="7729986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1C79EC0"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U.S. Fish and Wildlife Service.  1998.  Summary of Public Comments on the Draft Environmental Impact Statement for Grizzly Bear Recovery in the Bitterroot Ecosystem.  211 pp.</w:t>
      </w:r>
    </w:p>
    <w:p w14:paraId="3221F99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C715838" w14:textId="77777777" w:rsidR="00B60579" w:rsidRDefault="00B60579">
      <w:pPr>
        <w:tabs>
          <w:tab w:val="left" w:pos="-1440"/>
          <w:tab w:val="left" w:pos="-978"/>
          <w:tab w:val="left" w:pos="-258"/>
          <w:tab w:val="left" w:pos="462"/>
          <w:tab w:val="left" w:pos="720"/>
        </w:tabs>
        <w:spacing w:line="480" w:lineRule="atLeast"/>
        <w:ind w:left="462" w:hanging="258"/>
        <w:rPr>
          <w:rFonts w:ascii="Times New Roman" w:hAnsi="Times New Roman" w:cs="Times New Roman"/>
          <w:color w:val="auto"/>
          <w:sz w:val="24"/>
          <w:szCs w:val="24"/>
        </w:rPr>
      </w:pPr>
      <w:r>
        <w:rPr>
          <w:rFonts w:ascii="Times New Roman" w:hAnsi="Times New Roman" w:cs="Times New Roman"/>
          <w:color w:val="auto"/>
          <w:sz w:val="24"/>
          <w:szCs w:val="24"/>
        </w:rPr>
        <w:t>U.S. Fish and Wildlife Service.  2000.  Grizzly Bear Recovery in the Bitterroot Ecosystem.  Final Environmental Impact Statement.</w:t>
      </w:r>
    </w:p>
    <w:p w14:paraId="03523CE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4F82F1C" w14:textId="77777777" w:rsidR="00B60579" w:rsidRDefault="00B60579">
      <w:pPr>
        <w:tabs>
          <w:tab w:val="left" w:pos="-1440"/>
          <w:tab w:val="left" w:pos="-978"/>
          <w:tab w:val="left" w:pos="-258"/>
          <w:tab w:val="left" w:pos="462"/>
          <w:tab w:val="left" w:pos="720"/>
        </w:tabs>
        <w:spacing w:line="480" w:lineRule="atLeast"/>
        <w:ind w:left="462" w:hanging="462"/>
        <w:rPr>
          <w:rFonts w:ascii="Times New Roman" w:hAnsi="Times New Roman" w:cs="Times New Roman"/>
          <w:color w:val="auto"/>
          <w:sz w:val="24"/>
          <w:szCs w:val="24"/>
        </w:rPr>
      </w:pPr>
    </w:p>
    <w:p w14:paraId="403404F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6AE4BC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Author</w:t>
      </w:r>
    </w:p>
    <w:p w14:paraId="079D479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7CF435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principal author of this final rule is Dr. Christopher Servheen (see "ADDRESSES" section).</w:t>
      </w:r>
    </w:p>
    <w:p w14:paraId="25574D4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13B78A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List of Subjects in 50 CFR Part 17</w:t>
      </w:r>
    </w:p>
    <w:p w14:paraId="018F6CF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65312B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Endangered and threatened species, Exports, Imports, Reporting and recordkeeping requirements, Transportation.</w:t>
      </w:r>
    </w:p>
    <w:p w14:paraId="6C020D6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5C86D9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Regulation Promulgation</w:t>
      </w:r>
    </w:p>
    <w:p w14:paraId="1521704F"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EDE457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Accordingly, we hereby amend part 17, subchapter B of chapter I, title 50 of the U.S. Code of Federal Regulations, as set forth below:</w:t>
      </w:r>
    </w:p>
    <w:p w14:paraId="701CAE7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75EE8B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PART 17 </w:t>
      </w:r>
      <w:r>
        <w:rPr>
          <w:rFonts w:ascii="Times New Roman" w:hAnsi="Times New Roman" w:cs="Times New Roman"/>
          <w:color w:val="auto"/>
          <w:sz w:val="24"/>
          <w:szCs w:val="24"/>
        </w:rPr>
        <w:noBreakHyphen/>
        <w:t xml:space="preserve"> [AMENDED]</w:t>
      </w:r>
    </w:p>
    <w:p w14:paraId="2F11D51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A28F12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1.  The authority citation for Part 17 continues to read as follows:</w:t>
      </w:r>
    </w:p>
    <w:p w14:paraId="6FB8538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D699DF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Authority</w:t>
      </w:r>
      <w:r>
        <w:rPr>
          <w:rFonts w:ascii="Times New Roman" w:hAnsi="Times New Roman" w:cs="Times New Roman"/>
          <w:color w:val="auto"/>
          <w:sz w:val="24"/>
          <w:szCs w:val="24"/>
        </w:rPr>
        <w:t>:  16 U.S.C. 1361</w:t>
      </w:r>
      <w:r>
        <w:rPr>
          <w:rFonts w:ascii="Times New Roman" w:hAnsi="Times New Roman" w:cs="Times New Roman"/>
          <w:color w:val="auto"/>
          <w:sz w:val="24"/>
          <w:szCs w:val="24"/>
        </w:rPr>
        <w:noBreakHyphen/>
        <w:t>1407; 16 U.S.C. 1531</w:t>
      </w:r>
      <w:r>
        <w:rPr>
          <w:rFonts w:ascii="Times New Roman" w:hAnsi="Times New Roman" w:cs="Times New Roman"/>
          <w:color w:val="auto"/>
          <w:sz w:val="24"/>
          <w:szCs w:val="24"/>
        </w:rPr>
        <w:noBreakHyphen/>
        <w:t>1544; 16 U.S.C. 4201</w:t>
      </w:r>
      <w:r>
        <w:rPr>
          <w:rFonts w:ascii="Times New Roman" w:hAnsi="Times New Roman" w:cs="Times New Roman"/>
          <w:color w:val="auto"/>
          <w:sz w:val="24"/>
          <w:szCs w:val="24"/>
        </w:rPr>
        <w:noBreakHyphen/>
        <w:t>4245; Pub. L. 99</w:t>
      </w:r>
      <w:r>
        <w:rPr>
          <w:rFonts w:ascii="Times New Roman" w:hAnsi="Times New Roman" w:cs="Times New Roman"/>
          <w:color w:val="auto"/>
          <w:sz w:val="24"/>
          <w:szCs w:val="24"/>
        </w:rPr>
        <w:noBreakHyphen/>
        <w:t>625, 100 Stat. 3500; unless otherwise noted.</w:t>
      </w:r>
    </w:p>
    <w:p w14:paraId="27DDD57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453DE3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2.  Amend section 17.11(h), revise the table entry for  “Bear, grizzly (=brown)” under “MAMMALS” to read as follows:</w:t>
      </w:r>
    </w:p>
    <w:p w14:paraId="2080107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C035E3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17.11 Endangered and threatened wildlife.</w:t>
      </w:r>
    </w:p>
    <w:p w14:paraId="584279C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9460B9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 * * *</w:t>
      </w:r>
    </w:p>
    <w:p w14:paraId="5F36E92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89B8CC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(h) * * *</w:t>
      </w:r>
    </w:p>
    <w:p w14:paraId="62759C8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sectPr w:rsidR="00B60579">
          <w:headerReference w:type="default" r:id="rId8"/>
          <w:footerReference w:type="default" r:id="rId9"/>
          <w:type w:val="continuous"/>
          <w:pgSz w:w="12240" w:h="15840"/>
          <w:pgMar w:top="1440" w:right="1440" w:bottom="1440" w:left="2160" w:header="1440" w:footer="1440" w:gutter="0"/>
          <w:cols w:space="720"/>
          <w:noEndnote/>
        </w:sectPr>
      </w:pPr>
    </w:p>
    <w:p w14:paraId="550354F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tbl>
      <w:tblPr>
        <w:tblW w:w="0" w:type="auto"/>
        <w:tblInd w:w="-1140" w:type="dxa"/>
        <w:tblLayout w:type="fixed"/>
        <w:tblCellMar>
          <w:left w:w="120" w:type="dxa"/>
          <w:right w:w="120" w:type="dxa"/>
        </w:tblCellMar>
        <w:tblLook w:val="0000" w:firstRow="0" w:lastRow="0" w:firstColumn="0" w:lastColumn="0" w:noHBand="0" w:noVBand="0"/>
      </w:tblPr>
      <w:tblGrid>
        <w:gridCol w:w="1800"/>
        <w:gridCol w:w="1800"/>
        <w:gridCol w:w="1260"/>
        <w:gridCol w:w="4770"/>
        <w:gridCol w:w="900"/>
        <w:gridCol w:w="1170"/>
        <w:gridCol w:w="990"/>
        <w:gridCol w:w="1260"/>
      </w:tblGrid>
      <w:tr w:rsidR="004B46B3" w14:paraId="78880893" w14:textId="77777777" w:rsidTr="004B46B3">
        <w:tblPrEx>
          <w:tblCellMar>
            <w:top w:w="0" w:type="dxa"/>
            <w:bottom w:w="0" w:type="dxa"/>
          </w:tblCellMar>
        </w:tblPrEx>
        <w:tc>
          <w:tcPr>
            <w:tcW w:w="3600" w:type="dxa"/>
            <w:gridSpan w:val="2"/>
            <w:tcBorders>
              <w:top w:val="single" w:sz="7" w:space="0" w:color="auto"/>
              <w:left w:val="nil"/>
              <w:bottom w:val="nil"/>
              <w:right w:val="nil"/>
            </w:tcBorders>
          </w:tcPr>
          <w:p w14:paraId="7BDE7039" w14:textId="77777777" w:rsidR="00B60579" w:rsidRDefault="00B60579">
            <w:pPr>
              <w:tabs>
                <w:tab w:val="center" w:pos="168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PRIVATE </w:instrText>
            </w:r>
            <w:r>
              <w:rPr>
                <w:rFonts w:ascii="Times New Roman" w:hAnsi="Times New Roman" w:cs="Times New Roman"/>
                <w:color w:val="auto"/>
                <w:sz w:val="24"/>
                <w:szCs w:val="24"/>
              </w:rPr>
            </w:r>
            <w:r>
              <w:rPr>
                <w:rFonts w:ascii="Times New Roman" w:hAnsi="Times New Roman" w:cs="Times New Roman"/>
                <w:color w:val="auto"/>
                <w:sz w:val="24"/>
                <w:szCs w:val="24"/>
              </w:rPr>
              <w:fldChar w:fldCharType="end"/>
            </w:r>
            <w:r>
              <w:rPr>
                <w:rFonts w:ascii="Times New Roman" w:hAnsi="Times New Roman" w:cs="Times New Roman"/>
                <w:color w:val="auto"/>
                <w:sz w:val="24"/>
                <w:szCs w:val="24"/>
              </w:rPr>
              <w:tab/>
              <w:t>SPECIES</w:t>
            </w:r>
          </w:p>
        </w:tc>
        <w:tc>
          <w:tcPr>
            <w:tcW w:w="1260" w:type="dxa"/>
            <w:tcBorders>
              <w:top w:val="single" w:sz="7" w:space="0" w:color="auto"/>
              <w:left w:val="single" w:sz="7" w:space="0" w:color="auto"/>
              <w:bottom w:val="nil"/>
              <w:right w:val="nil"/>
            </w:tcBorders>
          </w:tcPr>
          <w:p w14:paraId="2D3CA0C2" w14:textId="77777777" w:rsidR="00B60579" w:rsidRDefault="00B60579">
            <w:pPr>
              <w:tabs>
                <w:tab w:val="left" w:pos="-1440"/>
                <w:tab w:val="left" w:pos="-978"/>
                <w:tab w:val="left" w:pos="-258"/>
                <w:tab w:val="left" w:pos="462"/>
                <w:tab w:val="left" w:pos="720"/>
              </w:tabs>
              <w:spacing w:before="94"/>
              <w:rPr>
                <w:rFonts w:ascii="Times New Roman" w:hAnsi="Times New Roman" w:cs="Times New Roman"/>
                <w:color w:val="auto"/>
                <w:sz w:val="24"/>
                <w:szCs w:val="24"/>
              </w:rPr>
            </w:pPr>
          </w:p>
          <w:p w14:paraId="09EFF637"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55C5573F"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r>
              <w:rPr>
                <w:rFonts w:ascii="Times New Roman" w:hAnsi="Times New Roman" w:cs="Times New Roman"/>
                <w:color w:val="auto"/>
                <w:sz w:val="24"/>
                <w:szCs w:val="24"/>
              </w:rPr>
              <w:t>Historic</w:t>
            </w:r>
          </w:p>
          <w:p w14:paraId="0EB0FFBB"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r>
              <w:rPr>
                <w:rFonts w:ascii="Times New Roman" w:hAnsi="Times New Roman" w:cs="Times New Roman"/>
                <w:color w:val="auto"/>
                <w:sz w:val="24"/>
                <w:szCs w:val="24"/>
              </w:rPr>
              <w:t>Range</w:t>
            </w:r>
          </w:p>
        </w:tc>
        <w:tc>
          <w:tcPr>
            <w:tcW w:w="4770" w:type="dxa"/>
            <w:tcBorders>
              <w:top w:val="single" w:sz="7" w:space="0" w:color="auto"/>
              <w:left w:val="nil"/>
              <w:bottom w:val="nil"/>
              <w:right w:val="nil"/>
            </w:tcBorders>
          </w:tcPr>
          <w:p w14:paraId="374F555E" w14:textId="77777777" w:rsidR="00B60579" w:rsidRDefault="00B60579">
            <w:pPr>
              <w:tabs>
                <w:tab w:val="center" w:pos="2264"/>
              </w:tabs>
              <w:spacing w:before="94"/>
              <w:rPr>
                <w:rFonts w:ascii="Times New Roman" w:hAnsi="Times New Roman" w:cs="Times New Roman"/>
                <w:color w:val="auto"/>
                <w:sz w:val="24"/>
                <w:szCs w:val="24"/>
              </w:rPr>
            </w:pPr>
            <w:r>
              <w:rPr>
                <w:rFonts w:ascii="Times New Roman" w:hAnsi="Times New Roman" w:cs="Times New Roman"/>
                <w:color w:val="auto"/>
                <w:sz w:val="24"/>
                <w:szCs w:val="24"/>
              </w:rPr>
              <w:tab/>
              <w:t>Vertebrate</w:t>
            </w:r>
          </w:p>
          <w:p w14:paraId="798AC5F8" w14:textId="77777777" w:rsidR="00B60579" w:rsidRDefault="00B60579">
            <w:pPr>
              <w:tabs>
                <w:tab w:val="center" w:pos="2264"/>
              </w:tabs>
              <w:rPr>
                <w:rFonts w:ascii="Times New Roman" w:hAnsi="Times New Roman" w:cs="Times New Roman"/>
                <w:color w:val="auto"/>
                <w:sz w:val="24"/>
                <w:szCs w:val="24"/>
              </w:rPr>
            </w:pPr>
            <w:r>
              <w:rPr>
                <w:rFonts w:ascii="Times New Roman" w:hAnsi="Times New Roman" w:cs="Times New Roman"/>
                <w:color w:val="auto"/>
                <w:sz w:val="24"/>
                <w:szCs w:val="24"/>
              </w:rPr>
              <w:tab/>
              <w:t>Population</w:t>
            </w:r>
          </w:p>
          <w:p w14:paraId="5BD9BE97" w14:textId="77777777" w:rsidR="00B60579" w:rsidRDefault="00B60579">
            <w:pPr>
              <w:tabs>
                <w:tab w:val="center" w:pos="2264"/>
              </w:tabs>
              <w:rPr>
                <w:rFonts w:ascii="Times New Roman" w:hAnsi="Times New Roman" w:cs="Times New Roman"/>
                <w:color w:val="auto"/>
                <w:sz w:val="24"/>
                <w:szCs w:val="24"/>
              </w:rPr>
            </w:pPr>
            <w:r>
              <w:rPr>
                <w:rFonts w:ascii="Times New Roman" w:hAnsi="Times New Roman" w:cs="Times New Roman"/>
                <w:color w:val="auto"/>
                <w:sz w:val="24"/>
                <w:szCs w:val="24"/>
              </w:rPr>
              <w:tab/>
              <w:t>Where Endangered</w:t>
            </w:r>
          </w:p>
          <w:p w14:paraId="4B719EAA" w14:textId="77777777" w:rsidR="00B60579" w:rsidRDefault="00B60579">
            <w:pPr>
              <w:tabs>
                <w:tab w:val="center" w:pos="2264"/>
              </w:tabs>
              <w:rPr>
                <w:rFonts w:ascii="Times New Roman" w:hAnsi="Times New Roman" w:cs="Times New Roman"/>
                <w:color w:val="auto"/>
                <w:sz w:val="24"/>
                <w:szCs w:val="24"/>
              </w:rPr>
            </w:pPr>
            <w:r>
              <w:rPr>
                <w:rFonts w:ascii="Times New Roman" w:hAnsi="Times New Roman" w:cs="Times New Roman"/>
                <w:color w:val="auto"/>
                <w:sz w:val="24"/>
                <w:szCs w:val="24"/>
              </w:rPr>
              <w:tab/>
              <w:t>or Threatened</w:t>
            </w:r>
          </w:p>
        </w:tc>
        <w:tc>
          <w:tcPr>
            <w:tcW w:w="900" w:type="dxa"/>
            <w:tcBorders>
              <w:top w:val="single" w:sz="7" w:space="0" w:color="auto"/>
              <w:left w:val="nil"/>
              <w:bottom w:val="nil"/>
              <w:right w:val="nil"/>
            </w:tcBorders>
          </w:tcPr>
          <w:p w14:paraId="60E0CA9B" w14:textId="77777777" w:rsidR="00B60579" w:rsidRDefault="00B60579">
            <w:pPr>
              <w:tabs>
                <w:tab w:val="left" w:pos="-1440"/>
                <w:tab w:val="left" w:pos="-978"/>
                <w:tab w:val="left" w:pos="-258"/>
                <w:tab w:val="left" w:pos="462"/>
                <w:tab w:val="left" w:pos="720"/>
              </w:tabs>
              <w:spacing w:before="94"/>
              <w:rPr>
                <w:rFonts w:ascii="Times New Roman" w:hAnsi="Times New Roman" w:cs="Times New Roman"/>
                <w:color w:val="auto"/>
                <w:sz w:val="24"/>
                <w:szCs w:val="24"/>
              </w:rPr>
            </w:pPr>
          </w:p>
          <w:p w14:paraId="2AC976E6"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0DE32030"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5D56819D" w14:textId="77777777" w:rsidR="00B60579" w:rsidRDefault="00B60579">
            <w:pPr>
              <w:tabs>
                <w:tab w:val="center" w:pos="330"/>
              </w:tabs>
              <w:rPr>
                <w:rFonts w:ascii="Times New Roman" w:hAnsi="Times New Roman" w:cs="Times New Roman"/>
                <w:color w:val="auto"/>
                <w:sz w:val="24"/>
                <w:szCs w:val="24"/>
              </w:rPr>
            </w:pPr>
            <w:r>
              <w:rPr>
                <w:rFonts w:ascii="Times New Roman" w:hAnsi="Times New Roman" w:cs="Times New Roman"/>
                <w:color w:val="auto"/>
                <w:sz w:val="24"/>
                <w:szCs w:val="24"/>
              </w:rPr>
              <w:tab/>
              <w:t>Status</w:t>
            </w:r>
          </w:p>
        </w:tc>
        <w:tc>
          <w:tcPr>
            <w:tcW w:w="1170" w:type="dxa"/>
            <w:tcBorders>
              <w:top w:val="single" w:sz="7" w:space="0" w:color="auto"/>
              <w:left w:val="nil"/>
              <w:bottom w:val="nil"/>
              <w:right w:val="nil"/>
            </w:tcBorders>
          </w:tcPr>
          <w:p w14:paraId="5AB75C5E" w14:textId="77777777" w:rsidR="00B60579" w:rsidRDefault="00B60579">
            <w:pPr>
              <w:tabs>
                <w:tab w:val="left" w:pos="-1440"/>
                <w:tab w:val="left" w:pos="-978"/>
                <w:tab w:val="left" w:pos="-258"/>
                <w:tab w:val="left" w:pos="462"/>
                <w:tab w:val="left" w:pos="720"/>
              </w:tabs>
              <w:spacing w:before="94"/>
              <w:rPr>
                <w:rFonts w:ascii="Times New Roman" w:hAnsi="Times New Roman" w:cs="Times New Roman"/>
                <w:color w:val="auto"/>
                <w:sz w:val="24"/>
                <w:szCs w:val="24"/>
              </w:rPr>
            </w:pPr>
          </w:p>
          <w:p w14:paraId="475F7769"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3474DB40" w14:textId="77777777" w:rsidR="00B60579" w:rsidRDefault="00B60579">
            <w:pPr>
              <w:tabs>
                <w:tab w:val="center" w:pos="464"/>
              </w:tabs>
              <w:rPr>
                <w:rFonts w:ascii="Times New Roman" w:hAnsi="Times New Roman" w:cs="Times New Roman"/>
                <w:color w:val="auto"/>
                <w:sz w:val="24"/>
                <w:szCs w:val="24"/>
              </w:rPr>
            </w:pPr>
            <w:r>
              <w:rPr>
                <w:rFonts w:ascii="Times New Roman" w:hAnsi="Times New Roman" w:cs="Times New Roman"/>
                <w:color w:val="auto"/>
                <w:sz w:val="24"/>
                <w:szCs w:val="24"/>
              </w:rPr>
              <w:tab/>
              <w:t>When</w:t>
            </w:r>
          </w:p>
          <w:p w14:paraId="020BF381" w14:textId="77777777" w:rsidR="00B60579" w:rsidRDefault="00B60579">
            <w:pPr>
              <w:tabs>
                <w:tab w:val="center" w:pos="464"/>
              </w:tabs>
              <w:rPr>
                <w:rFonts w:ascii="Times New Roman" w:hAnsi="Times New Roman" w:cs="Times New Roman"/>
                <w:color w:val="auto"/>
                <w:sz w:val="24"/>
                <w:szCs w:val="24"/>
              </w:rPr>
            </w:pPr>
            <w:r>
              <w:rPr>
                <w:rFonts w:ascii="Times New Roman" w:hAnsi="Times New Roman" w:cs="Times New Roman"/>
                <w:color w:val="auto"/>
                <w:sz w:val="24"/>
                <w:szCs w:val="24"/>
              </w:rPr>
              <w:tab/>
              <w:t>Listed</w:t>
            </w:r>
          </w:p>
        </w:tc>
        <w:tc>
          <w:tcPr>
            <w:tcW w:w="990" w:type="dxa"/>
            <w:tcBorders>
              <w:top w:val="single" w:sz="7" w:space="0" w:color="auto"/>
              <w:left w:val="nil"/>
              <w:bottom w:val="nil"/>
              <w:right w:val="nil"/>
            </w:tcBorders>
          </w:tcPr>
          <w:p w14:paraId="1F8959C2" w14:textId="77777777" w:rsidR="00B60579" w:rsidRDefault="00B60579">
            <w:pPr>
              <w:tabs>
                <w:tab w:val="left" w:pos="-1440"/>
                <w:tab w:val="left" w:pos="-978"/>
                <w:tab w:val="left" w:pos="-258"/>
                <w:tab w:val="left" w:pos="462"/>
                <w:tab w:val="left" w:pos="720"/>
              </w:tabs>
              <w:spacing w:before="94"/>
              <w:rPr>
                <w:rFonts w:ascii="Times New Roman" w:hAnsi="Times New Roman" w:cs="Times New Roman"/>
                <w:color w:val="auto"/>
                <w:sz w:val="24"/>
                <w:szCs w:val="24"/>
              </w:rPr>
            </w:pPr>
          </w:p>
          <w:p w14:paraId="73451C4D"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3D5BA8FD" w14:textId="77777777" w:rsidR="00B60579" w:rsidRDefault="00B60579">
            <w:pPr>
              <w:tabs>
                <w:tab w:val="center" w:pos="374"/>
              </w:tabs>
              <w:rPr>
                <w:rFonts w:ascii="Times New Roman" w:hAnsi="Times New Roman" w:cs="Times New Roman"/>
                <w:color w:val="auto"/>
                <w:sz w:val="24"/>
                <w:szCs w:val="24"/>
              </w:rPr>
            </w:pPr>
            <w:r>
              <w:rPr>
                <w:rFonts w:ascii="Times New Roman" w:hAnsi="Times New Roman" w:cs="Times New Roman"/>
                <w:color w:val="auto"/>
                <w:sz w:val="24"/>
                <w:szCs w:val="24"/>
              </w:rPr>
              <w:tab/>
              <w:t>Critical</w:t>
            </w:r>
          </w:p>
          <w:p w14:paraId="006EC4DC" w14:textId="77777777" w:rsidR="00B60579" w:rsidRDefault="00B60579">
            <w:pPr>
              <w:tabs>
                <w:tab w:val="center" w:pos="374"/>
              </w:tabs>
              <w:rPr>
                <w:rFonts w:ascii="Times New Roman" w:hAnsi="Times New Roman" w:cs="Times New Roman"/>
                <w:color w:val="auto"/>
                <w:sz w:val="24"/>
                <w:szCs w:val="24"/>
              </w:rPr>
            </w:pPr>
            <w:r>
              <w:rPr>
                <w:rFonts w:ascii="Times New Roman" w:hAnsi="Times New Roman" w:cs="Times New Roman"/>
                <w:color w:val="auto"/>
                <w:sz w:val="24"/>
                <w:szCs w:val="24"/>
              </w:rPr>
              <w:tab/>
              <w:t>Habitat</w:t>
            </w:r>
          </w:p>
        </w:tc>
        <w:tc>
          <w:tcPr>
            <w:tcW w:w="1260" w:type="dxa"/>
            <w:tcBorders>
              <w:top w:val="single" w:sz="7" w:space="0" w:color="auto"/>
              <w:left w:val="nil"/>
              <w:bottom w:val="nil"/>
              <w:right w:val="nil"/>
            </w:tcBorders>
          </w:tcPr>
          <w:p w14:paraId="3482E252" w14:textId="77777777" w:rsidR="00B60579" w:rsidRDefault="00B60579">
            <w:pPr>
              <w:tabs>
                <w:tab w:val="left" w:pos="-1440"/>
                <w:tab w:val="left" w:pos="-978"/>
                <w:tab w:val="left" w:pos="-258"/>
                <w:tab w:val="left" w:pos="462"/>
                <w:tab w:val="left" w:pos="720"/>
              </w:tabs>
              <w:spacing w:before="94"/>
              <w:rPr>
                <w:rFonts w:ascii="Times New Roman" w:hAnsi="Times New Roman" w:cs="Times New Roman"/>
                <w:color w:val="auto"/>
                <w:sz w:val="24"/>
                <w:szCs w:val="24"/>
              </w:rPr>
            </w:pPr>
          </w:p>
          <w:p w14:paraId="1C3138B0"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27586F33" w14:textId="77777777" w:rsidR="00B60579" w:rsidRDefault="00B60579">
            <w:pPr>
              <w:tabs>
                <w:tab w:val="center" w:pos="510"/>
              </w:tabs>
              <w:rPr>
                <w:rFonts w:ascii="Times New Roman" w:hAnsi="Times New Roman" w:cs="Times New Roman"/>
                <w:color w:val="auto"/>
                <w:sz w:val="24"/>
                <w:szCs w:val="24"/>
              </w:rPr>
            </w:pPr>
            <w:r>
              <w:rPr>
                <w:rFonts w:ascii="Times New Roman" w:hAnsi="Times New Roman" w:cs="Times New Roman"/>
                <w:color w:val="auto"/>
                <w:sz w:val="24"/>
                <w:szCs w:val="24"/>
              </w:rPr>
              <w:tab/>
              <w:t>Special</w:t>
            </w:r>
          </w:p>
          <w:p w14:paraId="06AEBCA7" w14:textId="77777777" w:rsidR="00B60579" w:rsidRDefault="00B60579">
            <w:pPr>
              <w:tabs>
                <w:tab w:val="center" w:pos="510"/>
              </w:tabs>
              <w:rPr>
                <w:rFonts w:ascii="Times New Roman" w:hAnsi="Times New Roman" w:cs="Times New Roman"/>
                <w:color w:val="auto"/>
                <w:sz w:val="24"/>
                <w:szCs w:val="24"/>
              </w:rPr>
            </w:pPr>
            <w:r>
              <w:rPr>
                <w:rFonts w:ascii="Times New Roman" w:hAnsi="Times New Roman" w:cs="Times New Roman"/>
                <w:color w:val="auto"/>
                <w:sz w:val="24"/>
                <w:szCs w:val="24"/>
              </w:rPr>
              <w:tab/>
              <w:t>Rules</w:t>
            </w:r>
          </w:p>
        </w:tc>
      </w:tr>
      <w:tr w:rsidR="00B60579" w14:paraId="6D261CF2" w14:textId="77777777">
        <w:tblPrEx>
          <w:tblCellMar>
            <w:top w:w="0" w:type="dxa"/>
            <w:bottom w:w="0" w:type="dxa"/>
          </w:tblCellMar>
        </w:tblPrEx>
        <w:tc>
          <w:tcPr>
            <w:tcW w:w="1800" w:type="dxa"/>
            <w:tcBorders>
              <w:top w:val="single" w:sz="7" w:space="0" w:color="auto"/>
              <w:left w:val="nil"/>
              <w:bottom w:val="nil"/>
              <w:right w:val="nil"/>
            </w:tcBorders>
          </w:tcPr>
          <w:p w14:paraId="15BDF6EA" w14:textId="77777777" w:rsidR="00B60579" w:rsidRDefault="00B60579">
            <w:pPr>
              <w:tabs>
                <w:tab w:val="center" w:pos="78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t>Common name</w:t>
            </w:r>
          </w:p>
        </w:tc>
        <w:tc>
          <w:tcPr>
            <w:tcW w:w="1800" w:type="dxa"/>
            <w:tcBorders>
              <w:top w:val="single" w:sz="7" w:space="0" w:color="auto"/>
              <w:left w:val="nil"/>
              <w:bottom w:val="nil"/>
              <w:right w:val="nil"/>
            </w:tcBorders>
          </w:tcPr>
          <w:p w14:paraId="33B6227C" w14:textId="77777777" w:rsidR="00B60579" w:rsidRDefault="00B60579">
            <w:pPr>
              <w:tabs>
                <w:tab w:val="center" w:pos="78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t>Scientific name</w:t>
            </w:r>
          </w:p>
        </w:tc>
        <w:tc>
          <w:tcPr>
            <w:tcW w:w="1260" w:type="dxa"/>
            <w:tcBorders>
              <w:top w:val="nil"/>
              <w:left w:val="single" w:sz="7" w:space="0" w:color="auto"/>
              <w:bottom w:val="nil"/>
              <w:right w:val="nil"/>
            </w:tcBorders>
          </w:tcPr>
          <w:p w14:paraId="6D55C0B7"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4770" w:type="dxa"/>
            <w:tcBorders>
              <w:top w:val="nil"/>
              <w:left w:val="nil"/>
              <w:bottom w:val="nil"/>
              <w:right w:val="nil"/>
            </w:tcBorders>
          </w:tcPr>
          <w:p w14:paraId="0DCF2C3D"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00" w:type="dxa"/>
            <w:tcBorders>
              <w:top w:val="nil"/>
              <w:left w:val="nil"/>
              <w:bottom w:val="nil"/>
              <w:right w:val="nil"/>
            </w:tcBorders>
          </w:tcPr>
          <w:p w14:paraId="5FE0C818"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170" w:type="dxa"/>
            <w:tcBorders>
              <w:top w:val="nil"/>
              <w:left w:val="nil"/>
              <w:bottom w:val="nil"/>
              <w:right w:val="nil"/>
            </w:tcBorders>
          </w:tcPr>
          <w:p w14:paraId="4D6939CD"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90" w:type="dxa"/>
            <w:tcBorders>
              <w:top w:val="nil"/>
              <w:left w:val="nil"/>
              <w:bottom w:val="nil"/>
              <w:right w:val="nil"/>
            </w:tcBorders>
          </w:tcPr>
          <w:p w14:paraId="58DB5BB1"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nil"/>
              <w:left w:val="nil"/>
              <w:bottom w:val="nil"/>
              <w:right w:val="nil"/>
            </w:tcBorders>
          </w:tcPr>
          <w:p w14:paraId="7259768E"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r>
      <w:tr w:rsidR="00B60579" w14:paraId="605B5136" w14:textId="77777777">
        <w:tblPrEx>
          <w:tblCellMar>
            <w:top w:w="0" w:type="dxa"/>
            <w:bottom w:w="0" w:type="dxa"/>
          </w:tblCellMar>
        </w:tblPrEx>
        <w:tc>
          <w:tcPr>
            <w:tcW w:w="1800" w:type="dxa"/>
            <w:tcBorders>
              <w:top w:val="single" w:sz="7" w:space="0" w:color="auto"/>
              <w:left w:val="nil"/>
              <w:bottom w:val="nil"/>
              <w:right w:val="nil"/>
            </w:tcBorders>
          </w:tcPr>
          <w:p w14:paraId="6A315763"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MAMMALS</w:t>
            </w:r>
          </w:p>
        </w:tc>
        <w:tc>
          <w:tcPr>
            <w:tcW w:w="1800" w:type="dxa"/>
            <w:tcBorders>
              <w:top w:val="single" w:sz="7" w:space="0" w:color="auto"/>
              <w:left w:val="nil"/>
              <w:bottom w:val="nil"/>
              <w:right w:val="nil"/>
            </w:tcBorders>
          </w:tcPr>
          <w:p w14:paraId="01F26B54"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single" w:sz="7" w:space="0" w:color="auto"/>
              <w:left w:val="nil"/>
              <w:bottom w:val="nil"/>
              <w:right w:val="nil"/>
            </w:tcBorders>
          </w:tcPr>
          <w:p w14:paraId="4C0C1A61"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4770" w:type="dxa"/>
            <w:tcBorders>
              <w:top w:val="single" w:sz="7" w:space="0" w:color="auto"/>
              <w:left w:val="nil"/>
              <w:bottom w:val="nil"/>
              <w:right w:val="nil"/>
            </w:tcBorders>
          </w:tcPr>
          <w:p w14:paraId="075CE32C"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00" w:type="dxa"/>
            <w:tcBorders>
              <w:top w:val="single" w:sz="7" w:space="0" w:color="auto"/>
              <w:left w:val="nil"/>
              <w:bottom w:val="nil"/>
              <w:right w:val="nil"/>
            </w:tcBorders>
          </w:tcPr>
          <w:p w14:paraId="1183B0A1"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170" w:type="dxa"/>
            <w:tcBorders>
              <w:top w:val="single" w:sz="7" w:space="0" w:color="auto"/>
              <w:left w:val="nil"/>
              <w:bottom w:val="nil"/>
              <w:right w:val="nil"/>
            </w:tcBorders>
          </w:tcPr>
          <w:p w14:paraId="041BD953"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90" w:type="dxa"/>
            <w:tcBorders>
              <w:top w:val="single" w:sz="7" w:space="0" w:color="auto"/>
              <w:left w:val="nil"/>
              <w:bottom w:val="nil"/>
              <w:right w:val="nil"/>
            </w:tcBorders>
          </w:tcPr>
          <w:p w14:paraId="3B6CE78C"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single" w:sz="7" w:space="0" w:color="auto"/>
              <w:left w:val="nil"/>
              <w:bottom w:val="nil"/>
              <w:right w:val="nil"/>
            </w:tcBorders>
          </w:tcPr>
          <w:p w14:paraId="5BFBA7A5"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r>
      <w:tr w:rsidR="00B60579" w14:paraId="2DC6F91A" w14:textId="77777777">
        <w:tblPrEx>
          <w:tblCellMar>
            <w:top w:w="0" w:type="dxa"/>
            <w:bottom w:w="0" w:type="dxa"/>
          </w:tblCellMar>
        </w:tblPrEx>
        <w:tc>
          <w:tcPr>
            <w:tcW w:w="1800" w:type="dxa"/>
            <w:tcBorders>
              <w:top w:val="nil"/>
              <w:left w:val="nil"/>
              <w:bottom w:val="nil"/>
              <w:right w:val="nil"/>
            </w:tcBorders>
          </w:tcPr>
          <w:p w14:paraId="2A477084"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 * * * * * *</w:t>
            </w:r>
          </w:p>
        </w:tc>
        <w:tc>
          <w:tcPr>
            <w:tcW w:w="1800" w:type="dxa"/>
            <w:tcBorders>
              <w:top w:val="nil"/>
              <w:left w:val="nil"/>
              <w:bottom w:val="nil"/>
              <w:right w:val="nil"/>
            </w:tcBorders>
          </w:tcPr>
          <w:p w14:paraId="11B44103"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nil"/>
              <w:left w:val="nil"/>
              <w:bottom w:val="nil"/>
              <w:right w:val="nil"/>
            </w:tcBorders>
          </w:tcPr>
          <w:p w14:paraId="4B2EC763"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4770" w:type="dxa"/>
            <w:tcBorders>
              <w:top w:val="nil"/>
              <w:left w:val="nil"/>
              <w:bottom w:val="nil"/>
              <w:right w:val="nil"/>
            </w:tcBorders>
          </w:tcPr>
          <w:p w14:paraId="5CA3FCC0"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00" w:type="dxa"/>
            <w:tcBorders>
              <w:top w:val="nil"/>
              <w:left w:val="nil"/>
              <w:bottom w:val="nil"/>
              <w:right w:val="nil"/>
            </w:tcBorders>
          </w:tcPr>
          <w:p w14:paraId="1A243F26"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170" w:type="dxa"/>
            <w:tcBorders>
              <w:top w:val="nil"/>
              <w:left w:val="nil"/>
              <w:bottom w:val="nil"/>
              <w:right w:val="nil"/>
            </w:tcBorders>
          </w:tcPr>
          <w:p w14:paraId="7B974FC5"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90" w:type="dxa"/>
            <w:tcBorders>
              <w:top w:val="nil"/>
              <w:left w:val="nil"/>
              <w:bottom w:val="nil"/>
              <w:right w:val="nil"/>
            </w:tcBorders>
          </w:tcPr>
          <w:p w14:paraId="76DC36E4"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nil"/>
              <w:left w:val="nil"/>
              <w:bottom w:val="nil"/>
              <w:right w:val="nil"/>
            </w:tcBorders>
          </w:tcPr>
          <w:p w14:paraId="7932D29E"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r>
      <w:tr w:rsidR="00B60579" w14:paraId="059FF34C" w14:textId="77777777">
        <w:tblPrEx>
          <w:tblCellMar>
            <w:top w:w="0" w:type="dxa"/>
            <w:bottom w:w="0" w:type="dxa"/>
          </w:tblCellMar>
        </w:tblPrEx>
        <w:tc>
          <w:tcPr>
            <w:tcW w:w="1800" w:type="dxa"/>
            <w:tcBorders>
              <w:top w:val="nil"/>
              <w:left w:val="nil"/>
              <w:bottom w:val="nil"/>
              <w:right w:val="nil"/>
            </w:tcBorders>
          </w:tcPr>
          <w:p w14:paraId="454F1E1B" w14:textId="77777777" w:rsidR="00B60579" w:rsidRDefault="00B60579">
            <w:pPr>
              <w:tabs>
                <w:tab w:val="left" w:pos="-1440"/>
                <w:tab w:val="left" w:pos="-978"/>
                <w:tab w:val="left" w:pos="-258"/>
                <w:tab w:val="left" w:pos="462"/>
                <w:tab w:val="left" w:pos="720"/>
              </w:tabs>
              <w:spacing w:before="94"/>
              <w:rPr>
                <w:rFonts w:ascii="Times New Roman" w:hAnsi="Times New Roman" w:cs="Times New Roman"/>
                <w:color w:val="auto"/>
                <w:sz w:val="24"/>
                <w:szCs w:val="24"/>
              </w:rPr>
            </w:pPr>
            <w:r>
              <w:rPr>
                <w:rFonts w:ascii="Times New Roman" w:hAnsi="Times New Roman" w:cs="Times New Roman"/>
                <w:color w:val="auto"/>
                <w:sz w:val="24"/>
                <w:szCs w:val="24"/>
              </w:rPr>
              <w:t>Bear, Grizzly</w:t>
            </w:r>
          </w:p>
          <w:p w14:paraId="0742CC7A" w14:textId="77777777" w:rsidR="00B60579" w:rsidRDefault="00B60579">
            <w:pPr>
              <w:tabs>
                <w:tab w:val="left" w:pos="-1440"/>
                <w:tab w:val="left" w:pos="-978"/>
                <w:tab w:val="left" w:pos="-258"/>
                <w:tab w:val="left" w:pos="462"/>
                <w:tab w:val="left" w:pos="720"/>
              </w:tabs>
              <w:spacing w:after="54"/>
              <w:rPr>
                <w:rFonts w:ascii="Times New Roman" w:hAnsi="Times New Roman" w:cs="Times New Roman"/>
                <w:color w:val="auto"/>
                <w:sz w:val="24"/>
                <w:szCs w:val="24"/>
              </w:rPr>
            </w:pPr>
            <w:r>
              <w:rPr>
                <w:rFonts w:ascii="Times New Roman" w:hAnsi="Times New Roman" w:cs="Times New Roman"/>
                <w:color w:val="auto"/>
                <w:sz w:val="24"/>
                <w:szCs w:val="24"/>
              </w:rPr>
              <w:t xml:space="preserve">   (=brown)</w:t>
            </w:r>
          </w:p>
        </w:tc>
        <w:tc>
          <w:tcPr>
            <w:tcW w:w="1800" w:type="dxa"/>
            <w:tcBorders>
              <w:top w:val="nil"/>
              <w:left w:val="nil"/>
              <w:bottom w:val="nil"/>
              <w:right w:val="nil"/>
            </w:tcBorders>
          </w:tcPr>
          <w:p w14:paraId="28AB0F8E" w14:textId="77777777" w:rsidR="00B60579" w:rsidRDefault="00B60579">
            <w:pPr>
              <w:tabs>
                <w:tab w:val="left" w:pos="-1440"/>
                <w:tab w:val="left" w:pos="-978"/>
                <w:tab w:val="left" w:pos="-258"/>
                <w:tab w:val="left" w:pos="462"/>
                <w:tab w:val="left" w:pos="720"/>
              </w:tabs>
              <w:spacing w:before="94"/>
              <w:rPr>
                <w:rFonts w:ascii="Times New Roman" w:hAnsi="Times New Roman" w:cs="Times New Roman"/>
                <w:color w:val="auto"/>
                <w:sz w:val="24"/>
                <w:szCs w:val="24"/>
              </w:rPr>
            </w:pPr>
            <w:r>
              <w:rPr>
                <w:rFonts w:ascii="Times New Roman" w:hAnsi="Times New Roman" w:cs="Times New Roman"/>
                <w:color w:val="auto"/>
                <w:sz w:val="24"/>
                <w:szCs w:val="24"/>
                <w:u w:val="single"/>
              </w:rPr>
              <w:t>Ursus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arctos</w:t>
            </w:r>
          </w:p>
          <w:p w14:paraId="45808D02" w14:textId="77777777" w:rsidR="00B60579" w:rsidRDefault="00B60579">
            <w:pPr>
              <w:tabs>
                <w:tab w:val="left" w:pos="-1440"/>
                <w:tab w:val="left" w:pos="-978"/>
                <w:tab w:val="left" w:pos="-258"/>
                <w:tab w:val="left" w:pos="462"/>
                <w:tab w:val="left" w:pos="720"/>
              </w:tabs>
              <w:spacing w:after="54"/>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horribilis</w:t>
            </w:r>
          </w:p>
        </w:tc>
        <w:tc>
          <w:tcPr>
            <w:tcW w:w="1260" w:type="dxa"/>
            <w:tcBorders>
              <w:top w:val="nil"/>
              <w:left w:val="nil"/>
              <w:bottom w:val="nil"/>
              <w:right w:val="nil"/>
            </w:tcBorders>
          </w:tcPr>
          <w:p w14:paraId="6FAE5812"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Holarctic</w:t>
            </w:r>
          </w:p>
        </w:tc>
        <w:tc>
          <w:tcPr>
            <w:tcW w:w="4770" w:type="dxa"/>
            <w:tcBorders>
              <w:top w:val="nil"/>
              <w:left w:val="nil"/>
              <w:bottom w:val="nil"/>
              <w:right w:val="nil"/>
            </w:tcBorders>
          </w:tcPr>
          <w:p w14:paraId="0E759C49" w14:textId="77777777" w:rsidR="00B60579" w:rsidRDefault="00B60579">
            <w:pPr>
              <w:tabs>
                <w:tab w:val="left" w:pos="-1440"/>
                <w:tab w:val="left" w:pos="-978"/>
                <w:tab w:val="left" w:pos="-258"/>
                <w:tab w:val="left" w:pos="462"/>
                <w:tab w:val="left" w:pos="720"/>
              </w:tabs>
              <w:spacing w:before="94"/>
              <w:rPr>
                <w:rFonts w:ascii="Times New Roman" w:hAnsi="Times New Roman" w:cs="Times New Roman"/>
                <w:color w:val="auto"/>
                <w:sz w:val="24"/>
                <w:szCs w:val="24"/>
              </w:rPr>
            </w:pPr>
            <w:r>
              <w:rPr>
                <w:rFonts w:ascii="Times New Roman" w:hAnsi="Times New Roman" w:cs="Times New Roman"/>
                <w:color w:val="auto"/>
                <w:sz w:val="24"/>
                <w:szCs w:val="24"/>
              </w:rPr>
              <w:t>U.S.A., conterminous (lower 48) States,</w:t>
            </w:r>
          </w:p>
          <w:p w14:paraId="50F945CE"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r>
              <w:rPr>
                <w:rFonts w:ascii="Times New Roman" w:hAnsi="Times New Roman" w:cs="Times New Roman"/>
                <w:color w:val="auto"/>
                <w:sz w:val="24"/>
                <w:szCs w:val="24"/>
              </w:rPr>
              <w:t xml:space="preserve">  except where listed as an experimental</w:t>
            </w:r>
          </w:p>
          <w:p w14:paraId="05F7CCE7" w14:textId="77777777" w:rsidR="00B60579" w:rsidRDefault="00B60579">
            <w:pPr>
              <w:tabs>
                <w:tab w:val="left" w:pos="-1440"/>
                <w:tab w:val="left" w:pos="-978"/>
                <w:tab w:val="left" w:pos="-258"/>
                <w:tab w:val="left" w:pos="462"/>
                <w:tab w:val="left" w:pos="720"/>
              </w:tabs>
              <w:spacing w:after="54"/>
              <w:rPr>
                <w:rFonts w:ascii="Times New Roman" w:hAnsi="Times New Roman" w:cs="Times New Roman"/>
                <w:color w:val="auto"/>
                <w:sz w:val="24"/>
                <w:szCs w:val="24"/>
              </w:rPr>
            </w:pPr>
            <w:r>
              <w:rPr>
                <w:rFonts w:ascii="Times New Roman" w:hAnsi="Times New Roman" w:cs="Times New Roman"/>
                <w:color w:val="auto"/>
                <w:sz w:val="24"/>
                <w:szCs w:val="24"/>
              </w:rPr>
              <w:t xml:space="preserve">  population.</w:t>
            </w:r>
          </w:p>
        </w:tc>
        <w:tc>
          <w:tcPr>
            <w:tcW w:w="900" w:type="dxa"/>
            <w:tcBorders>
              <w:top w:val="nil"/>
              <w:left w:val="nil"/>
              <w:bottom w:val="nil"/>
              <w:right w:val="nil"/>
            </w:tcBorders>
          </w:tcPr>
          <w:p w14:paraId="0E7C5DF6" w14:textId="77777777" w:rsidR="00B60579" w:rsidRDefault="00B60579">
            <w:pPr>
              <w:tabs>
                <w:tab w:val="center" w:pos="-237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t>T</w:t>
            </w:r>
          </w:p>
        </w:tc>
        <w:tc>
          <w:tcPr>
            <w:tcW w:w="1170" w:type="dxa"/>
            <w:tcBorders>
              <w:top w:val="nil"/>
              <w:left w:val="nil"/>
              <w:bottom w:val="nil"/>
              <w:right w:val="nil"/>
            </w:tcBorders>
          </w:tcPr>
          <w:p w14:paraId="542D6801"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 xml:space="preserve">1, 2D, 9, </w:t>
            </w:r>
            <w:r>
              <w:rPr>
                <w:rFonts w:ascii="Times New Roman" w:hAnsi="Times New Roman" w:cs="Times New Roman"/>
                <w:color w:val="auto"/>
                <w:sz w:val="24"/>
                <w:szCs w:val="24"/>
                <w:u w:val="single"/>
              </w:rPr>
              <w:t xml:space="preserve">  </w:t>
            </w:r>
          </w:p>
        </w:tc>
        <w:tc>
          <w:tcPr>
            <w:tcW w:w="990" w:type="dxa"/>
            <w:tcBorders>
              <w:top w:val="nil"/>
              <w:left w:val="nil"/>
              <w:bottom w:val="nil"/>
              <w:right w:val="nil"/>
            </w:tcBorders>
          </w:tcPr>
          <w:p w14:paraId="6CFBCCB2" w14:textId="77777777" w:rsidR="00B60579" w:rsidRDefault="00B60579">
            <w:pPr>
              <w:tabs>
                <w:tab w:val="center" w:pos="-444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t>NA</w:t>
            </w:r>
          </w:p>
        </w:tc>
        <w:tc>
          <w:tcPr>
            <w:tcW w:w="1260" w:type="dxa"/>
            <w:tcBorders>
              <w:top w:val="nil"/>
              <w:left w:val="nil"/>
              <w:bottom w:val="nil"/>
              <w:right w:val="nil"/>
            </w:tcBorders>
          </w:tcPr>
          <w:p w14:paraId="12E8BCCE" w14:textId="77777777" w:rsidR="00B60579" w:rsidRDefault="00B60579">
            <w:pPr>
              <w:tabs>
                <w:tab w:val="center" w:pos="-543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t>17.40(b)</w:t>
            </w:r>
          </w:p>
        </w:tc>
      </w:tr>
      <w:tr w:rsidR="00B60579" w14:paraId="31A8BE18" w14:textId="77777777">
        <w:tblPrEx>
          <w:tblCellMar>
            <w:top w:w="0" w:type="dxa"/>
            <w:bottom w:w="0" w:type="dxa"/>
          </w:tblCellMar>
        </w:tblPrEx>
        <w:tc>
          <w:tcPr>
            <w:tcW w:w="1800" w:type="dxa"/>
            <w:tcBorders>
              <w:top w:val="nil"/>
              <w:left w:val="nil"/>
              <w:bottom w:val="nil"/>
              <w:right w:val="nil"/>
            </w:tcBorders>
          </w:tcPr>
          <w:p w14:paraId="64455085"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 * * * * * *</w:t>
            </w:r>
          </w:p>
        </w:tc>
        <w:tc>
          <w:tcPr>
            <w:tcW w:w="1800" w:type="dxa"/>
            <w:tcBorders>
              <w:top w:val="nil"/>
              <w:left w:val="nil"/>
              <w:bottom w:val="nil"/>
              <w:right w:val="nil"/>
            </w:tcBorders>
          </w:tcPr>
          <w:p w14:paraId="522EFB12"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nil"/>
              <w:left w:val="nil"/>
              <w:bottom w:val="nil"/>
              <w:right w:val="nil"/>
            </w:tcBorders>
          </w:tcPr>
          <w:p w14:paraId="6F62CBEF"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4770" w:type="dxa"/>
            <w:tcBorders>
              <w:top w:val="nil"/>
              <w:left w:val="nil"/>
              <w:bottom w:val="nil"/>
              <w:right w:val="nil"/>
            </w:tcBorders>
          </w:tcPr>
          <w:p w14:paraId="3C368D54"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00" w:type="dxa"/>
            <w:tcBorders>
              <w:top w:val="nil"/>
              <w:left w:val="nil"/>
              <w:bottom w:val="nil"/>
              <w:right w:val="nil"/>
            </w:tcBorders>
          </w:tcPr>
          <w:p w14:paraId="13D8B2F3"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170" w:type="dxa"/>
            <w:tcBorders>
              <w:top w:val="nil"/>
              <w:left w:val="nil"/>
              <w:bottom w:val="nil"/>
              <w:right w:val="nil"/>
            </w:tcBorders>
          </w:tcPr>
          <w:p w14:paraId="7B55C92C"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90" w:type="dxa"/>
            <w:tcBorders>
              <w:top w:val="nil"/>
              <w:left w:val="nil"/>
              <w:bottom w:val="nil"/>
              <w:right w:val="nil"/>
            </w:tcBorders>
          </w:tcPr>
          <w:p w14:paraId="2513A654"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nil"/>
              <w:left w:val="nil"/>
              <w:bottom w:val="nil"/>
              <w:right w:val="nil"/>
            </w:tcBorders>
          </w:tcPr>
          <w:p w14:paraId="7DE0BC67"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r>
      <w:tr w:rsidR="00B60579" w14:paraId="46DF88EF" w14:textId="77777777">
        <w:tblPrEx>
          <w:tblCellMar>
            <w:top w:w="0" w:type="dxa"/>
            <w:bottom w:w="0" w:type="dxa"/>
          </w:tblCellMar>
        </w:tblPrEx>
        <w:tc>
          <w:tcPr>
            <w:tcW w:w="1800" w:type="dxa"/>
            <w:tcBorders>
              <w:top w:val="nil"/>
              <w:left w:val="nil"/>
              <w:bottom w:val="nil"/>
              <w:right w:val="nil"/>
            </w:tcBorders>
          </w:tcPr>
          <w:p w14:paraId="3191702B"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Do</w:t>
            </w:r>
          </w:p>
        </w:tc>
        <w:tc>
          <w:tcPr>
            <w:tcW w:w="1800" w:type="dxa"/>
            <w:tcBorders>
              <w:top w:val="nil"/>
              <w:left w:val="nil"/>
              <w:bottom w:val="nil"/>
              <w:right w:val="nil"/>
            </w:tcBorders>
          </w:tcPr>
          <w:p w14:paraId="3388E61B"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Do</w:t>
            </w:r>
          </w:p>
        </w:tc>
        <w:tc>
          <w:tcPr>
            <w:tcW w:w="1260" w:type="dxa"/>
            <w:tcBorders>
              <w:top w:val="nil"/>
              <w:left w:val="nil"/>
              <w:bottom w:val="nil"/>
              <w:right w:val="nil"/>
            </w:tcBorders>
          </w:tcPr>
          <w:p w14:paraId="25F07466"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Do</w:t>
            </w:r>
          </w:p>
        </w:tc>
        <w:tc>
          <w:tcPr>
            <w:tcW w:w="4770" w:type="dxa"/>
            <w:tcBorders>
              <w:top w:val="nil"/>
              <w:left w:val="nil"/>
              <w:bottom w:val="nil"/>
              <w:right w:val="nil"/>
            </w:tcBorders>
          </w:tcPr>
          <w:p w14:paraId="14AE37B0"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U.S.A. (portions of ID and  MT, see 17.84(l))[el, not one]</w:t>
            </w:r>
          </w:p>
        </w:tc>
        <w:tc>
          <w:tcPr>
            <w:tcW w:w="900" w:type="dxa"/>
            <w:tcBorders>
              <w:top w:val="nil"/>
              <w:left w:val="nil"/>
              <w:bottom w:val="nil"/>
              <w:right w:val="nil"/>
            </w:tcBorders>
          </w:tcPr>
          <w:p w14:paraId="7A9B0B1D" w14:textId="77777777" w:rsidR="00B60579" w:rsidRDefault="00B60579">
            <w:pPr>
              <w:tabs>
                <w:tab w:val="center" w:pos="-237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t>XN</w:t>
            </w:r>
          </w:p>
        </w:tc>
        <w:tc>
          <w:tcPr>
            <w:tcW w:w="1170" w:type="dxa"/>
            <w:tcBorders>
              <w:top w:val="nil"/>
              <w:left w:val="nil"/>
              <w:bottom w:val="nil"/>
              <w:right w:val="nil"/>
            </w:tcBorders>
          </w:tcPr>
          <w:p w14:paraId="29064FDF" w14:textId="77777777" w:rsidR="00B60579" w:rsidRDefault="00B60579">
            <w:pPr>
              <w:tabs>
                <w:tab w:val="center" w:pos="-327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 xml:space="preserve">  </w:t>
            </w:r>
          </w:p>
        </w:tc>
        <w:tc>
          <w:tcPr>
            <w:tcW w:w="990" w:type="dxa"/>
            <w:tcBorders>
              <w:top w:val="nil"/>
              <w:left w:val="nil"/>
              <w:bottom w:val="nil"/>
              <w:right w:val="nil"/>
            </w:tcBorders>
          </w:tcPr>
          <w:p w14:paraId="7232ED0F" w14:textId="77777777" w:rsidR="00B60579" w:rsidRDefault="00B60579">
            <w:pPr>
              <w:tabs>
                <w:tab w:val="center" w:pos="-444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t>NA</w:t>
            </w:r>
          </w:p>
        </w:tc>
        <w:tc>
          <w:tcPr>
            <w:tcW w:w="1260" w:type="dxa"/>
            <w:tcBorders>
              <w:top w:val="nil"/>
              <w:left w:val="nil"/>
              <w:bottom w:val="nil"/>
              <w:right w:val="nil"/>
            </w:tcBorders>
          </w:tcPr>
          <w:p w14:paraId="26BD4A7E" w14:textId="77777777" w:rsidR="00B60579" w:rsidRDefault="00B60579">
            <w:pPr>
              <w:tabs>
                <w:tab w:val="center" w:pos="-543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ab/>
              <w:t>17.84(l)[el</w:t>
            </w:r>
            <w:r>
              <w:rPr>
                <w:rFonts w:ascii="Times New Roman" w:hAnsi="Times New Roman" w:cs="Times New Roman"/>
                <w:color w:val="auto"/>
                <w:sz w:val="24"/>
                <w:szCs w:val="24"/>
              </w:rPr>
              <w:tab/>
              <w:t>, not one]</w:t>
            </w:r>
          </w:p>
        </w:tc>
      </w:tr>
      <w:tr w:rsidR="00B60579" w14:paraId="566A0F1F" w14:textId="77777777">
        <w:tblPrEx>
          <w:tblCellMar>
            <w:top w:w="0" w:type="dxa"/>
            <w:bottom w:w="0" w:type="dxa"/>
          </w:tblCellMar>
        </w:tblPrEx>
        <w:tc>
          <w:tcPr>
            <w:tcW w:w="1800" w:type="dxa"/>
            <w:tcBorders>
              <w:top w:val="nil"/>
              <w:left w:val="nil"/>
              <w:bottom w:val="nil"/>
              <w:right w:val="nil"/>
            </w:tcBorders>
          </w:tcPr>
          <w:p w14:paraId="08950568"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r>
              <w:rPr>
                <w:rFonts w:ascii="Times New Roman" w:hAnsi="Times New Roman" w:cs="Times New Roman"/>
                <w:color w:val="auto"/>
                <w:sz w:val="24"/>
                <w:szCs w:val="24"/>
              </w:rPr>
              <w:t>* * * * * * *</w:t>
            </w:r>
          </w:p>
        </w:tc>
        <w:tc>
          <w:tcPr>
            <w:tcW w:w="1800" w:type="dxa"/>
            <w:tcBorders>
              <w:top w:val="nil"/>
              <w:left w:val="nil"/>
              <w:bottom w:val="nil"/>
              <w:right w:val="nil"/>
            </w:tcBorders>
          </w:tcPr>
          <w:p w14:paraId="57FD0C52"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nil"/>
              <w:left w:val="nil"/>
              <w:bottom w:val="nil"/>
              <w:right w:val="nil"/>
            </w:tcBorders>
          </w:tcPr>
          <w:p w14:paraId="21CE7FB5"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4770" w:type="dxa"/>
            <w:tcBorders>
              <w:top w:val="nil"/>
              <w:left w:val="nil"/>
              <w:bottom w:val="nil"/>
              <w:right w:val="nil"/>
            </w:tcBorders>
          </w:tcPr>
          <w:p w14:paraId="0A05F509"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00" w:type="dxa"/>
            <w:tcBorders>
              <w:top w:val="nil"/>
              <w:left w:val="nil"/>
              <w:bottom w:val="nil"/>
              <w:right w:val="nil"/>
            </w:tcBorders>
          </w:tcPr>
          <w:p w14:paraId="2196092D"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170" w:type="dxa"/>
            <w:tcBorders>
              <w:top w:val="nil"/>
              <w:left w:val="nil"/>
              <w:bottom w:val="nil"/>
              <w:right w:val="nil"/>
            </w:tcBorders>
          </w:tcPr>
          <w:p w14:paraId="13EAD1F3"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990" w:type="dxa"/>
            <w:tcBorders>
              <w:top w:val="nil"/>
              <w:left w:val="nil"/>
              <w:bottom w:val="nil"/>
              <w:right w:val="nil"/>
            </w:tcBorders>
          </w:tcPr>
          <w:p w14:paraId="32851F82"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c>
          <w:tcPr>
            <w:tcW w:w="1260" w:type="dxa"/>
            <w:tcBorders>
              <w:top w:val="nil"/>
              <w:left w:val="nil"/>
              <w:bottom w:val="nil"/>
              <w:right w:val="nil"/>
            </w:tcBorders>
          </w:tcPr>
          <w:p w14:paraId="38169BF6" w14:textId="77777777" w:rsidR="00B60579" w:rsidRDefault="00B60579">
            <w:pPr>
              <w:tabs>
                <w:tab w:val="left" w:pos="-1440"/>
                <w:tab w:val="left" w:pos="-978"/>
                <w:tab w:val="left" w:pos="-258"/>
                <w:tab w:val="left" w:pos="462"/>
                <w:tab w:val="left" w:pos="720"/>
              </w:tabs>
              <w:spacing w:before="94" w:after="54"/>
              <w:rPr>
                <w:rFonts w:ascii="Times New Roman" w:hAnsi="Times New Roman" w:cs="Times New Roman"/>
                <w:color w:val="auto"/>
                <w:sz w:val="24"/>
                <w:szCs w:val="24"/>
              </w:rPr>
            </w:pPr>
          </w:p>
        </w:tc>
      </w:tr>
    </w:tbl>
    <w:p w14:paraId="3DD30189"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sectPr w:rsidR="00B60579">
          <w:pgSz w:w="15840" w:h="12240" w:orient="landscape"/>
          <w:pgMar w:top="1440" w:right="1440" w:bottom="1440" w:left="2160" w:header="1440" w:footer="1440" w:gutter="0"/>
          <w:cols w:space="720"/>
          <w:noEndnote/>
        </w:sectPr>
      </w:pPr>
    </w:p>
    <w:p w14:paraId="62EEC67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t>3.  Amend section 17.84 by adding paragraph (l) [el, not one] to read as follows:</w:t>
      </w:r>
    </w:p>
    <w:p w14:paraId="7D410AC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b/>
          <w:bCs/>
          <w:color w:val="auto"/>
          <w:sz w:val="24"/>
          <w:szCs w:val="24"/>
        </w:rPr>
        <w:t>§ 17.84 Special rules</w:t>
      </w:r>
      <w:r>
        <w:rPr>
          <w:rFonts w:ascii="Times New Roman" w:hAnsi="Times New Roman" w:cs="Times New Roman"/>
          <w:b/>
          <w:bCs/>
          <w:color w:val="auto"/>
          <w:sz w:val="24"/>
          <w:szCs w:val="24"/>
        </w:rPr>
        <w:noBreakHyphen/>
      </w:r>
      <w:r>
        <w:rPr>
          <w:rFonts w:ascii="Times New Roman" w:hAnsi="Times New Roman" w:cs="Times New Roman"/>
          <w:b/>
          <w:bCs/>
          <w:color w:val="auto"/>
          <w:sz w:val="24"/>
          <w:szCs w:val="24"/>
        </w:rPr>
        <w:noBreakHyphen/>
        <w:t>vertebrates</w:t>
      </w:r>
    </w:p>
    <w:p w14:paraId="4346CFE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EA1BA1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 * * *</w:t>
      </w:r>
    </w:p>
    <w:p w14:paraId="6D6CC58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0E3406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(l)[el, not one] Grizzly bear (</w:t>
      </w:r>
      <w:r>
        <w:rPr>
          <w:rFonts w:ascii="Times New Roman" w:hAnsi="Times New Roman" w:cs="Times New Roman"/>
          <w:color w:val="auto"/>
          <w:sz w:val="24"/>
          <w:szCs w:val="24"/>
          <w:u w:val="single"/>
        </w:rPr>
        <w:t>Ursus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arctos</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horribilis</w:t>
      </w:r>
      <w:r>
        <w:rPr>
          <w:rFonts w:ascii="Times New Roman" w:hAnsi="Times New Roman" w:cs="Times New Roman"/>
          <w:color w:val="auto"/>
          <w:sz w:val="24"/>
          <w:szCs w:val="24"/>
        </w:rPr>
        <w:t>)</w:t>
      </w:r>
    </w:p>
    <w:p w14:paraId="2929D62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50A6FB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(1)  Where does this special rule apply?</w:t>
      </w:r>
    </w:p>
    <w:p w14:paraId="3C6D808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FE7F17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This special rule applies to the designated Nonessential Experimental Population of the grizzly bear which is found within the species’ historic range and is defined as follows:</w:t>
      </w:r>
    </w:p>
    <w:p w14:paraId="10272DD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A1628C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The boundaries of the Bitterroot Grizzly Bear Experimental Population Area (Experimental Population Area) are delineated by U.S. 93 from its junction with the Bitterroot River near Missoula, Montana, to Challis, Idaho; Idaho 75 from Challis to Stanley, Idaho; Idaho 21 from Stanley to Lowman, Idaho; State Highway 17 from Lowman to Banks, Idaho; Idaho 55 from Banks to New Meadows, Idaho; U.S. 95 from New Meadows to Coeur d'Alene, Idaho; Interstate 90 from Coeur d'Alene, Idaho, to its junction with the Clark Fork River near St. Regis, Montana; the Clark Fork River from its junction with Interstate 90 near St. Regis to its confluence with the Bitterroot River near Missoula, Montana; and the Bitterroot River from its confluence with the Clark Fork River to its junction with U.S. Highway 93, near Missoula, Montana (See map at the end of this paragraph (l)[el, not one]).</w:t>
      </w:r>
    </w:p>
    <w:p w14:paraId="4F2769C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3611F16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t>(2)  Where will grizzly bears be released, and where will recovery be emphasized?</w:t>
      </w:r>
    </w:p>
    <w:p w14:paraId="6967BF4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C22217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The Bitterroot Grizzly Bear Recovery Area (Recovery Area) identifies the area of recovery emphasis.  The Recovery Area consists of the Selway-Bitterroot Wilderness and the Frank Church</w:t>
      </w:r>
      <w:r>
        <w:rPr>
          <w:rFonts w:ascii="Times New Roman" w:hAnsi="Times New Roman" w:cs="Times New Roman"/>
          <w:color w:val="auto"/>
          <w:sz w:val="24"/>
          <w:szCs w:val="24"/>
        </w:rPr>
        <w:noBreakHyphen/>
        <w:t>River of No Return Wilderness.   All reintroductions will take place in the Selway</w:t>
      </w:r>
      <w:r>
        <w:rPr>
          <w:rFonts w:ascii="Times New Roman" w:hAnsi="Times New Roman" w:cs="Times New Roman"/>
          <w:color w:val="auto"/>
          <w:sz w:val="24"/>
          <w:szCs w:val="24"/>
        </w:rPr>
        <w:noBreakHyphen/>
        <w:t>Bitterroot Wilderness unless the Citizens Management Committee (committee responsible for implementation of the reintroduction and management of the Experimental Population Area; see (6)) determines that reintroduction in the Frank Church</w:t>
      </w:r>
      <w:r>
        <w:rPr>
          <w:rFonts w:ascii="Times New Roman" w:hAnsi="Times New Roman" w:cs="Times New Roman"/>
          <w:color w:val="auto"/>
          <w:sz w:val="24"/>
          <w:szCs w:val="24"/>
        </w:rPr>
        <w:noBreakHyphen/>
        <w:t>River of No Return Wilderness is appropriate.  If, in the future, new wilderness areas are designated adjacent to the Recovery Area, the Committee may recommend to the Secretary of the Department of the Interior their addition to the Recovery Area.  The Secretary would have to amend this rule to change the definition of the Recovery Area.</w:t>
      </w:r>
    </w:p>
    <w:p w14:paraId="5469E8A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E0F517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(3)  What is the legal status of the grizzly bear?</w:t>
      </w:r>
    </w:p>
    <w:p w14:paraId="2CB62E2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415973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   The grizzly bear is listed as “threatened” and protected under 50 CFR 17.11 (h).  However, the grizzly bear population to which this special rule applies is considered a nonessential experimental population in accordance with section 10(j) of the Act. </w:t>
      </w:r>
    </w:p>
    <w:p w14:paraId="2B56D4E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D33479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(ii)   We have determined that there is no existing grizzly bear population in the Experimental  Area.  We find, in accordance with 50 CFR 17.81 (b), that the reintroduction of grizzly bears as a nonessential experimental population, as defined in paragraph (1) [one] of this section will further the conservation of the species, and will be consistent with provisions of section 10(j) of the Act, which requires that an experimental </w:t>
      </w:r>
      <w:r>
        <w:rPr>
          <w:rFonts w:ascii="Times New Roman" w:hAnsi="Times New Roman" w:cs="Times New Roman"/>
          <w:color w:val="auto"/>
          <w:sz w:val="24"/>
          <w:szCs w:val="24"/>
        </w:rPr>
        <w:lastRenderedPageBreak/>
        <w:t>population be geographically separate from other non-experimental populations of the same species.  We also find, in accordance with 50 CFR 17.81 (c) (2), that the experimental population is not essential to the continued existence of the species in the wild.</w:t>
      </w:r>
    </w:p>
    <w:p w14:paraId="734D336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3B908C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(iii) Grizzly bears within the Experimental Population Area (defined in paragraph (1)[one](i) of this section) and the Recovery Area (defined in paragraph (2)(i) of this section) will be accommodated through management provisions provided for in this rule and through management plans and policies developed by the Committee.  After reintroduction, every grizzly bear found within the Experimental Population Area will be considered a member of the nonessential experimental population.</w:t>
      </w:r>
    </w:p>
    <w:p w14:paraId="1C935DF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C8991B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(iv)    In the conterminous United States, a grizzly bear that is outside the Experimental Population Area identified in paragraph (1)[one](i) of this section will be considered as threatened unless it is marked or otherwise known to be a member of the nonessential experimental population.</w:t>
      </w:r>
    </w:p>
    <w:p w14:paraId="24A72AE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C251C6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(4) What activities are prohibited in the Experimental Population Area?</w:t>
      </w:r>
    </w:p>
    <w:p w14:paraId="76BFA8B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1B8FDC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You may not “take” (see definition in paragraph 16 of this section) any grizzly bear in the Experimental Population Area, except as provided in this rule.  We may refer unauthorized take of grizzly bears to the appropriate authorities for prosecution.</w:t>
      </w:r>
    </w:p>
    <w:p w14:paraId="20ED82A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2BA310F"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(ii)   You may not possess, sell, deliver, carry, transport, ship, import, or export by any means whatsoever any grizzly bear or parts thereof, from the Experimental </w:t>
      </w:r>
      <w:r>
        <w:rPr>
          <w:rFonts w:ascii="Times New Roman" w:hAnsi="Times New Roman" w:cs="Times New Roman"/>
          <w:color w:val="auto"/>
          <w:sz w:val="24"/>
          <w:szCs w:val="24"/>
        </w:rPr>
        <w:lastRenderedPageBreak/>
        <w:t>Population Area that are taken or possessed in violation of these regulations or in violation of applicable State wildlife conservation laws or regulations or the Endangered Species Act.</w:t>
      </w:r>
    </w:p>
    <w:p w14:paraId="4BF8F7F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94DD80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(iii)   You may not attempt to commit, solicit another to commit, or cause to be committed, any offense defined in this rule.</w:t>
      </w:r>
    </w:p>
    <w:p w14:paraId="2A659D2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74B7AE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(5) What activities are allowed in the Experimental Population Area?</w:t>
      </w:r>
    </w:p>
    <w:p w14:paraId="45B6A23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A792D7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For purposes of this special rule, except for persons engaged in hunting or shooting activities, you will not be in violation of the Act for “unavoidable and unintentional take” (see definition in paragraph 16 of this section) of grizzly bears within the Experimental Population Area when such take is incidental to a legal activity and is not a result of negligent conduct lacking reasonable due care, and when due care was exercised to the taking.  This includes activities conducted in accordance with plans of the Committee.  Any taking must be reported with 24 hours to appropriate authorities as listed in paragraph (5)(iii) of this section.  Persons lawfully engaged in hunting or shooting activities must correctly identify their target before shooting in order to avoid illegally shooting a grizzly bear.  Shooting a grizzly bear as a result of mistaking it for another species is considered a lack of reasonable due care.  The act of taking a grizzly bear that is wrongly identified as another species may be referred to appropriate authorities for prosecution.</w:t>
      </w:r>
    </w:p>
    <w:p w14:paraId="65D0C9E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p>
    <w:p w14:paraId="15DF5155"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(ii)   Any person with a valid permit issued by us may take grizzly bears in the Experimental Population Area for scientific purposes, the enhancement of propagation or </w:t>
      </w:r>
      <w:r>
        <w:rPr>
          <w:rFonts w:ascii="Times New Roman" w:hAnsi="Times New Roman" w:cs="Times New Roman"/>
          <w:color w:val="auto"/>
          <w:sz w:val="24"/>
          <w:szCs w:val="24"/>
        </w:rPr>
        <w:lastRenderedPageBreak/>
        <w:t>survival of the species, zoological exhibition, and other conservation purposes.  Such permits must be consistent with the Act, with management plans adopted for this population and with applicable State wildlife conservation laws and regulations.</w:t>
      </w:r>
    </w:p>
    <w:p w14:paraId="333FE14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4B1370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(iii)   You may take grizzly bears in the Experimental Population Area in self defense or in defense of the lives of others.  Such taking must be reported within 24 hours as to date, exact location, and circumstances to the Grizzly Bear Recovery Coordinator, University Hall, Room 309, University of Montana, Missoula, Montana 59812 (406</w:t>
      </w:r>
      <w:r>
        <w:rPr>
          <w:rFonts w:ascii="Times New Roman" w:hAnsi="Times New Roman" w:cs="Times New Roman"/>
          <w:color w:val="auto"/>
          <w:sz w:val="24"/>
          <w:szCs w:val="24"/>
        </w:rPr>
        <w:noBreakHyphen/>
        <w:t>243</w:t>
      </w:r>
      <w:r>
        <w:rPr>
          <w:rFonts w:ascii="Times New Roman" w:hAnsi="Times New Roman" w:cs="Times New Roman"/>
          <w:color w:val="auto"/>
          <w:sz w:val="24"/>
          <w:szCs w:val="24"/>
        </w:rPr>
        <w:noBreakHyphen/>
        <w:t>4903); or the Assistant Regional Director for Law Enforcement, 911 NE 11th Avenue, Portland, Oregon 97232</w:t>
      </w:r>
      <w:r>
        <w:rPr>
          <w:rFonts w:ascii="Times New Roman" w:hAnsi="Times New Roman" w:cs="Times New Roman"/>
          <w:color w:val="auto"/>
          <w:sz w:val="24"/>
          <w:szCs w:val="24"/>
        </w:rPr>
        <w:noBreakHyphen/>
        <w:t>4181 (503-231</w:t>
      </w:r>
      <w:r>
        <w:rPr>
          <w:rFonts w:ascii="Times New Roman" w:hAnsi="Times New Roman" w:cs="Times New Roman"/>
          <w:color w:val="auto"/>
          <w:sz w:val="24"/>
          <w:szCs w:val="24"/>
        </w:rPr>
        <w:noBreakHyphen/>
        <w:t>6125); or the Assistant Regional Director for Law Enforcement, P.O. Box 25486, DFC, Denver, Colorado 80225 (303</w:t>
      </w:r>
      <w:r>
        <w:rPr>
          <w:rFonts w:ascii="Times New Roman" w:hAnsi="Times New Roman" w:cs="Times New Roman"/>
          <w:color w:val="auto"/>
          <w:sz w:val="24"/>
          <w:szCs w:val="24"/>
        </w:rPr>
        <w:noBreakHyphen/>
        <w:t>236</w:t>
      </w:r>
      <w:r>
        <w:rPr>
          <w:rFonts w:ascii="Times New Roman" w:hAnsi="Times New Roman" w:cs="Times New Roman"/>
          <w:color w:val="auto"/>
          <w:sz w:val="24"/>
          <w:szCs w:val="24"/>
        </w:rPr>
        <w:noBreakHyphen/>
        <w:t>7540); and either the Idaho Department of Fish and Game, P.O. Box 25, Boise Idaho 83707 (208</w:t>
      </w:r>
      <w:r>
        <w:rPr>
          <w:rFonts w:ascii="Times New Roman" w:hAnsi="Times New Roman" w:cs="Times New Roman"/>
          <w:color w:val="auto"/>
          <w:sz w:val="24"/>
          <w:szCs w:val="24"/>
        </w:rPr>
        <w:noBreakHyphen/>
        <w:t>334</w:t>
      </w:r>
      <w:r>
        <w:rPr>
          <w:rFonts w:ascii="Times New Roman" w:hAnsi="Times New Roman" w:cs="Times New Roman"/>
          <w:color w:val="auto"/>
          <w:sz w:val="24"/>
          <w:szCs w:val="24"/>
        </w:rPr>
        <w:noBreakHyphen/>
        <w:t>3700); or the Montana Department of Fish, Wildlife and Parks, 1420 E. Sixth Avenue, Helena, Montana 59620 (406</w:t>
      </w:r>
      <w:r>
        <w:rPr>
          <w:rFonts w:ascii="Times New Roman" w:hAnsi="Times New Roman" w:cs="Times New Roman"/>
          <w:color w:val="auto"/>
          <w:sz w:val="24"/>
          <w:szCs w:val="24"/>
        </w:rPr>
        <w:noBreakHyphen/>
        <w:t>444</w:t>
      </w:r>
      <w:r>
        <w:rPr>
          <w:rFonts w:ascii="Times New Roman" w:hAnsi="Times New Roman" w:cs="Times New Roman"/>
          <w:color w:val="auto"/>
          <w:sz w:val="24"/>
          <w:szCs w:val="24"/>
        </w:rPr>
        <w:noBreakHyphen/>
        <w:t>2535); and Nez Perce Tribal authorities (208-843-2253) (as appropriate).</w:t>
      </w:r>
    </w:p>
    <w:p w14:paraId="0D980AA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CDCF0E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(iv)   Livestock owners may be issued a permit by us, the Idaho Department of Fish and Game, or the Montana Department of Fish, Wildlife and Parks, and appropriate Tribal authorities to “harass” (see definition in paragraph 16 of this section) grizzly bears found in the Experimental Population Area that are actually pursuing or killing livestock (to include permitting the use of livestock guard dogs around livestock to harass such grizzly bears), provided documentation of pursuit or killing of livestock is made by authorized State, Federal, or Tribal officials prior to issuance of such a permit, and provided that all such harassment is by an opportunistic, noninjurious method (see definition of “opportunistic, noninjurious harassment” in paragraph 16 of this section) to </w:t>
      </w:r>
      <w:r>
        <w:rPr>
          <w:rFonts w:ascii="Times New Roman" w:hAnsi="Times New Roman" w:cs="Times New Roman"/>
          <w:color w:val="auto"/>
          <w:sz w:val="24"/>
          <w:szCs w:val="24"/>
        </w:rPr>
        <w:lastRenderedPageBreak/>
        <w:t>the grizzly bear and such harassment is reported within 24 hours as to date, exact location, and circumstances to the authorities listed under paragraph (6)(iii) of this section.</w:t>
      </w:r>
    </w:p>
    <w:p w14:paraId="6313622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9AA4D6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(v)   Livestock owners may be issued a permit by us, the Idaho Department of Fish and Game, or the Montana Department of Fish, Wildlife and Parks to take grizzly bears on private lands found in the Experimental Population Area to protect livestock actually pursued or being killed on private property, provided documentation of pursuit or killing of livestock is made by authorized State, Federal, or Tribal officials prior to issuance of such a permit, and after any response protocol established by the Committee has been satisfied and efforts to capture depredating grizzly bears by Service or State or Tribal wildlife agency personnel have proven unsuccessful, provided that all such taking is reported as to date, exact location, and circumstances within 24 hours to the authorities listed under paragraph (5)(iii) of this section.</w:t>
      </w:r>
    </w:p>
    <w:p w14:paraId="15679E2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32B8AF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(vi)   Any authorized employee or agent of ours or appropriate State wildlife agency or Nez Perce Tribe who is lawfully designated for such purposes, when acting in the course of official duties, may take a grizzly bear from the wild in the Experimental Population Area if such action is necessary to:</w:t>
      </w:r>
    </w:p>
    <w:p w14:paraId="787E500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0D064B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(A)  Aid a sick, injured, or orphaned grizzly bear;</w:t>
      </w:r>
    </w:p>
    <w:p w14:paraId="75B4DAC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6391E3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(B)  Dispose of a dead grizzly bear, or salvage a dead grizzly bear that may be useful for scientific study;</w:t>
      </w:r>
    </w:p>
    <w:p w14:paraId="4849FB6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93D7D5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t>(C)  Take a grizzly bear that constitutes a demonstrable but non-immediate threat to human safety or that is responsible for depredations to lawfully present domestic animals or other personal property, if it has not been possible to otherwise eliminate such depredation or loss of personal property and after it has been demonstrated that it has not been possible to eliminate such threat by live capturing and releasing the grizzly bear unharmed in the area defined in paragraph (2)(i) of this section or other areas approved by the Committee;</w:t>
      </w:r>
    </w:p>
    <w:p w14:paraId="26FD9EC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AC06ED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(D) Move a grizzly bear for genetic management purposes;</w:t>
      </w:r>
    </w:p>
    <w:p w14:paraId="7369EDD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1D593D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(E)  Relocate a grizzly bear to avoid conflict with human activities.  Grizzly bears in the Experimental Population Area will not be disturbed unless they demonstrate a real and imminent threat to human safety, livestock or bees.  Unless the Committee determines otherwise, this rule provides that private lands outside the national forest boundary in the Bitterroot Valley, Montana (exclusion area), are an area where any human/grizzly conflicts will be considered unacceptable.  Grizzly bear occupancy will be discouraged in these areas and grizzly bears will be captured and returned to the Recovery Area, or destroyed, or placed in captivity depending on the history of each bear.  If a grizzly bear enters the exclusion area, State and Federal wildlife management agencies will attempt to capture it immediately and notify the public of its presence as soon as possible.  The public will be kept updated until the bear is caught.  Further, any grizzly bear that occupies inhabited human settlement areas on private land within the Experimental Population Area that in the judgement of the management agencies or Committee presents a clear threat to human safety or where there is indication that it may become habituated to humans, may be relocated by management agencies.</w:t>
      </w:r>
    </w:p>
    <w:p w14:paraId="39947C9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07C612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(F)  Relocate grizzly bears within the Experimental Population Area to improve grizzly bear survival and recovery prospects.</w:t>
      </w:r>
    </w:p>
    <w:p w14:paraId="0EA80D2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00C7D6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(6)  How will local citizens be involved in the management of the Bitterroot nonessential experimental grizzly bear population?</w:t>
      </w:r>
    </w:p>
    <w:p w14:paraId="5A33F77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6AA682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The Secretary will establish a Citizen Management Committee (Committee) for the Bitterroot grizzly bear experimental population and will authorize management implementation responsibility as described in paragraph (9) of this section, in consultation with the Governors of Idaho and Montana.  As soon as possible after the effective date of this rule, the Committee will be organized by requesting nominations of citizen members from the Governors of Idaho and Montana, the Nez Perce Tribe, and nomination of agency members by represented agencies.</w:t>
      </w:r>
    </w:p>
    <w:p w14:paraId="226A6FA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84AC23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(ii)  The Committee will be composed of 15 members serving 6</w:t>
      </w:r>
      <w:r>
        <w:rPr>
          <w:rFonts w:ascii="Times New Roman" w:hAnsi="Times New Roman" w:cs="Times New Roman"/>
          <w:color w:val="auto"/>
          <w:sz w:val="24"/>
          <w:szCs w:val="24"/>
        </w:rPr>
        <w:noBreakHyphen/>
        <w:t xml:space="preserve">year terms.  Appointments may initially be of lesser terms to ensure staggered replacement.  Membership will consist of seven individuals appointed by the Secretary based upon the recommendations of the Governor of Idaho, five members appointed by the Secretary based upon the recommendations of the Governor of Montana, one member representing the Nez Perce Tribe appointed by the Secretary based on the recommendation of the Nez Perce Tribe, one member representing the Forest Service appointed by the Secretary of Agriculture, and one member representing the Fish and Wildlife Service appointed by the Secretary.  Members recommended by the Governors of Idaho and Montana will be based on the recommendations of the interested parties and will include at least one </w:t>
      </w:r>
      <w:r>
        <w:rPr>
          <w:rFonts w:ascii="Times New Roman" w:hAnsi="Times New Roman" w:cs="Times New Roman"/>
          <w:color w:val="auto"/>
          <w:sz w:val="24"/>
          <w:szCs w:val="24"/>
        </w:rPr>
        <w:lastRenderedPageBreak/>
        <w:t>representative each from the appropriate State fish and wildlife agencies.  If either Governor or the Tribe fails to make recommendations, the Secretary (or his/her designee) will accept recommendations from interested parties.  In their recommendations to the Secretary, the Governors of Idaho and Montana will attach written documentation of the qualifications of those nominated relating to their knowledge of, and experience in, natural resource issues and their commitment to collaborative decision</w:t>
      </w:r>
      <w:r>
        <w:rPr>
          <w:rFonts w:ascii="Times New Roman" w:hAnsi="Times New Roman" w:cs="Times New Roman"/>
          <w:color w:val="auto"/>
          <w:sz w:val="24"/>
          <w:szCs w:val="24"/>
        </w:rPr>
        <w:noBreakHyphen/>
        <w:t>making.  The Committee will consist of a cross</w:t>
      </w:r>
      <w:r>
        <w:rPr>
          <w:rFonts w:ascii="Times New Roman" w:hAnsi="Times New Roman" w:cs="Times New Roman"/>
          <w:color w:val="auto"/>
          <w:sz w:val="24"/>
          <w:szCs w:val="24"/>
        </w:rPr>
        <w:noBreakHyphen/>
        <w:t>section of interests reflecting a balance of viewpoints, and members are to be selected for their diversity of knowledge and experience in natural resource issues, and for their commitment to collaborative decision</w:t>
      </w:r>
      <w:r>
        <w:rPr>
          <w:rFonts w:ascii="Times New Roman" w:hAnsi="Times New Roman" w:cs="Times New Roman"/>
          <w:color w:val="auto"/>
          <w:sz w:val="24"/>
          <w:szCs w:val="24"/>
        </w:rPr>
        <w:noBreakHyphen/>
        <w:t>making.  Except for the representatives from Federal agencies, the Committee will be selected from communities within and adjacent to the Recovery and Experimental Population Areas.  The Secretary will fill vacancies as they occur with the appropriate members based on the recommendation of the appropriate Governor or the Nez Perce Tribe.</w:t>
      </w:r>
    </w:p>
    <w:p w14:paraId="170ABD8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215F1A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(7)   Will independent scientific information be readily available to the Committee?</w:t>
      </w:r>
    </w:p>
    <w:p w14:paraId="6EE49F6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3C44FC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  The Secretary will appoint two scientific advisors to the Committee as non-voting members to attend all meetings of the Committee and to provide scientific expertise in support of Committee management recommendations.  These scientific advisors will not be employed by Federal agencies involved in grizzly bear recovery.  The Secretary is to contact the Wildlife Society Chapters in Idaho and Montana and the Universities of Idaho and Montana for nominations, and he/she will select one wildlife scientist representing each State, and will appoint them as advisors to the Committee.   </w:t>
      </w:r>
    </w:p>
    <w:p w14:paraId="2D34FD2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4DF962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(8)  What is the overall mission of the Committee, and how will it operate? </w:t>
      </w:r>
    </w:p>
    <w:p w14:paraId="70914F9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1A6DE0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The mission of the Committee is to facilitate recovery of the grizzly bear in the Bitterroot Ecosystem by assisting in implementing the Bitterroot Ecosystem Chapter of the Recovery Plan.  The Committee will make recommendations to land and wildlife management agencies that it believes will lead to recovery of the grizzly bear.  Decisions on, and implementation of, these recommendations are the responsibility of the land and wildlife management agencies.</w:t>
      </w:r>
    </w:p>
    <w:p w14:paraId="49A140CF"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A4025D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(ii)  The Committee will meet a minimum of two times per year.  These meetings will be open to the public.  Additionally, the committee will provide reasonable public notice of meetings, produce and provide written minutes of meetings to interested persons, and involve the public in its decision-making process.  This public participation process will allow members of the public and/or special interest groups to have input to Committee decisions and management actions.</w:t>
      </w:r>
    </w:p>
    <w:p w14:paraId="19F9288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694F1C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(9)  What authority will the Committee have, and what will be its primary tasks?</w:t>
      </w:r>
    </w:p>
    <w:p w14:paraId="1B0C294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C973A7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Developing a process for obtaining the best biological, social, and economic data.  This will include an explicit mechanism for peer</w:t>
      </w:r>
      <w:r>
        <w:rPr>
          <w:rFonts w:ascii="Times New Roman" w:hAnsi="Times New Roman" w:cs="Times New Roman"/>
          <w:color w:val="auto"/>
          <w:sz w:val="24"/>
          <w:szCs w:val="24"/>
        </w:rPr>
        <w:noBreakHyphen/>
        <w:t xml:space="preserve">reviewed, scientific articles on grizzly bears and their management, as well as periodic public meetings, held not less than every 2 years, in which qualified scientists may submit comments to and be questioned by the Committee.  The two scientific advisors will lead this process.  The Committee will base its decisions upon the best scientific and commercial data available.  All decisions of the Committee, including components of its management plans, must lead toward recovery of the grizzly bear in the Bitterroot Ecosystem, and minimize social and </w:t>
      </w:r>
      <w:r>
        <w:rPr>
          <w:rFonts w:ascii="Times New Roman" w:hAnsi="Times New Roman" w:cs="Times New Roman"/>
          <w:color w:val="auto"/>
          <w:sz w:val="24"/>
          <w:szCs w:val="24"/>
        </w:rPr>
        <w:lastRenderedPageBreak/>
        <w:t>economic impacts to the extent practicable within the context of the existing recovery goals for the species.</w:t>
      </w:r>
    </w:p>
    <w:p w14:paraId="10A9D1C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DE07E4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(ii)  Soliciting technical advice and guidance from outside experts.</w:t>
      </w:r>
    </w:p>
    <w:p w14:paraId="0859473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40E695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(iii)  Implementing the Bitterroot chapter of the Grizzly Bear Recovery Plan consistent with this special rule.   The Committee will develop recommendations on existing management plans and policies of land and wildlife management agencies, as necessary, for the management of grizzly bears in the Experimental Population Area.  The Committee will make recommendations to land and wildlife management agencies regarding changes to plans and policies, but the final decision on implementation of those recommendations will be made by those agencies.  If Committee recommendations require significant changes to existing plans and policy, and the agencies tentatively agree to accept those recommendations, then the requirements of the National Environmental Policy Act may apply.  Such management plans and policies will be in accordance with applicable State and Federal laws.  The Committee will give full consideration to our comments and opinions and those of the Idaho Department of Fish and Game, the Montana Department of Fish, Wildlife and Parks, and the Nez Perce Tribe.</w:t>
      </w:r>
    </w:p>
    <w:p w14:paraId="17EB1BD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197278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(iv)  Providing means by which the public may participate in, review, and comment on the decisions of the Committee.  The Committee must thoroughly consider and respond to public input prior to its decisions.</w:t>
      </w:r>
    </w:p>
    <w:p w14:paraId="0ED315A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2F3157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(v)  Developing its internal processes, where appropriate, such as governance, </w:t>
      </w:r>
      <w:r>
        <w:rPr>
          <w:rFonts w:ascii="Times New Roman" w:hAnsi="Times New Roman" w:cs="Times New Roman"/>
          <w:color w:val="auto"/>
          <w:sz w:val="24"/>
          <w:szCs w:val="24"/>
        </w:rPr>
        <w:lastRenderedPageBreak/>
        <w:t>decision</w:t>
      </w:r>
      <w:r>
        <w:rPr>
          <w:rFonts w:ascii="Times New Roman" w:hAnsi="Times New Roman" w:cs="Times New Roman"/>
          <w:color w:val="auto"/>
          <w:sz w:val="24"/>
          <w:szCs w:val="24"/>
        </w:rPr>
        <w:noBreakHyphen/>
        <w:t>making, quorum, officers, meeting schedules and location, public notice of meetings, minutes, etc.  Given the large size of the Committee, an affirmative vote by a simple majority will be considered sufficient to approve any Committee decisions.</w:t>
      </w:r>
    </w:p>
    <w:p w14:paraId="528C4A7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B12240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(vi)  Requesting staff support from us, the Idaho Department of Fish and Game, Montana Department of Fish, Wildlife and Parks, Forest Service, other affected Federal agencies, and the Nez Perce Tribe, when necessary to perform administrative functions and to reimburse Committee members for costs associated with meetings, travel, and incidentals.</w:t>
      </w:r>
    </w:p>
    <w:p w14:paraId="31FC139B"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E88E1A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(vii)  Reviewing existing grizzly bear standards and guidelines utilized by the Forest Service and other agencies and landowners.  The Committee review of grizzly bear mortalities will be the primary mechanism to assess the adequacy of existing management techniques and standards.  If the Committee deems such standards and guidelines inadequate for recovery of grizzly bears, the Committee may recommend changes to the Forest Service and other agencies and landowners.</w:t>
      </w:r>
    </w:p>
    <w:p w14:paraId="54465E7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AA228E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(viii)  Developing grizzly bear guidance for proper camping and sanitation within the Experimental Population Area and making recommendations for adoption of such guidelines.  Existing grizzly bear camping and sanitation procedures developed in other ecosystems with grizzly bears will serve as a basis for such guidelines.</w:t>
      </w:r>
    </w:p>
    <w:p w14:paraId="2A074E6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557994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(ix)  Developing and making recommendations on response protocol for responding to grizzly/human encounters, livestock depredations, damage to lawfully present property, and other grizzly/human conflicts within the Experimental Population Area.  </w:t>
      </w:r>
      <w:r>
        <w:rPr>
          <w:rFonts w:ascii="Times New Roman" w:hAnsi="Times New Roman" w:cs="Times New Roman"/>
          <w:color w:val="auto"/>
          <w:sz w:val="24"/>
          <w:szCs w:val="24"/>
        </w:rPr>
        <w:lastRenderedPageBreak/>
        <w:t>Any response protocol developed by the Committee will have to undergo public comment and be revised as appropriate based on comments received.  Any conflicts or mortalities associated with these activities will result in review by the Committee to determine any recommendations that the Committee may make to help prevent future conflicts or mortalities.  The Committee will recommend, as necessary, policy changes on trail restrictions for human safety to appropriate wildlife and land management agencies.</w:t>
      </w:r>
    </w:p>
    <w:p w14:paraId="3C9F82FF"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E713A9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(x)  Recommending changes to recovery criteria including mortality limits, population determinations, and other criteria for recovery as appropriate.</w:t>
      </w:r>
    </w:p>
    <w:p w14:paraId="68E1976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17A67D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(xi)  Reviewing all human</w:t>
      </w:r>
      <w:r>
        <w:rPr>
          <w:rFonts w:ascii="Times New Roman" w:hAnsi="Times New Roman" w:cs="Times New Roman"/>
          <w:color w:val="auto"/>
          <w:sz w:val="24"/>
          <w:szCs w:val="24"/>
        </w:rPr>
        <w:noBreakHyphen/>
        <w:t>caused grizzly bear mortalities during the first 5 years to determine whether new measures for avoiding future occurrences are required, and to make recommendations on such measures to appropriate land and wildlife management agencies.  If grizzly bear mortalities occur as a result of black bear hunting, the Committee will work with the Fish and Wildlife Departments in both Idaho and Montana to develop solutions to minimize conflicts between grizzly bears and black bear hunting.</w:t>
      </w:r>
    </w:p>
    <w:p w14:paraId="3FEE94FF"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ED6D81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(xii)  Developing strategies to emphasize recovery inside the Recovery Area and to accommodate grizzly bears inside the Experimental Population Area.  Grizzly bears may range outside the Recovery Area because grizzly bear habitat exists throughout the Experimental Population Area.  The Committee will not recommend that bears be disturbed or moved unless conflicts are both significant and cannot be corrected as determined by the Committee.  This includes conflicts associated with livestock, for which the Committee will develop strategies to discourage grizzly bear occupancy in </w:t>
      </w:r>
      <w:r>
        <w:rPr>
          <w:rFonts w:ascii="Times New Roman" w:hAnsi="Times New Roman" w:cs="Times New Roman"/>
          <w:color w:val="auto"/>
          <w:sz w:val="24"/>
          <w:szCs w:val="24"/>
        </w:rPr>
        <w:lastRenderedPageBreak/>
        <w:t>portions of the Experimental Population Area.  Unless the Committee determines otherwise, this rule provides that private lands outside the national forest boundary in the Bitterroot Valley, Montana (exclusion area), is an area where any human/grizzly conflicts will be considered unacceptable.  Grizzly bear occupancy will be discouraged in these areas and grizzly bears will be captured and returned to the Recovery Area.  If a grizzly bear enters the exclusion area, State and Federal wildlife management agencies will attempt to capture it immediately and notify the public of its presence as soon as possible.  The public will be kept updated until the bear is caught.  Further, any grizzly bear that occupies inhabited human settlement areas on private land within the Experimental Population Area that in the judgement of the management agencies or Committee presents a clear threat to human safety or where there is indication that it may become habituated to humans, may be relocated by management agencies.</w:t>
      </w:r>
    </w:p>
    <w:p w14:paraId="532C17C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D994D6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(xiii)  Establishing standards for determining whether or not the experimental reintroduction has been successful and making recommendations on the inclusion of such standards in the Grizzly Bear Recovery Plan.  These standards will be based on the best scientific and commercial information available.  It is recognized and will be reflected in the standards that, absent extraordinary circumstances, the success or failure of the program cannot be measured in less than 10 years.  General guidelines for the standards by which failure will be measured include one or more of the following conditions:</w:t>
      </w:r>
    </w:p>
    <w:p w14:paraId="5D3BBBB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79D3E0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(A)  If, within the number of years established by the Committee following initial reintroduction, no relocated grizzly bear remains within the Experimental Population Area and the reasons for emigration or mortality cannot be identified and/or remedied; or</w:t>
      </w:r>
    </w:p>
    <w:p w14:paraId="4660CD7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AB6EF9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t>(B)  If, within the number of years established by the Committee following initial reintroduction, no cubs of the year or yearlings exist and the relocated bears are not showing signs of successful reproduction as evidenced by no cubs of the year or yearlings.</w:t>
      </w:r>
    </w:p>
    <w:p w14:paraId="2711ADB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C426B7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(xiv)  Developing procedures for the expeditious issuance of permits described in paragraphs (5)(iv) and (5)(v) of this section, and making recommendations on such procedures to appropriate agencies.</w:t>
      </w:r>
    </w:p>
    <w:p w14:paraId="4B20DB1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680EF5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(xv)  Developing 2</w:t>
      </w:r>
      <w:r>
        <w:rPr>
          <w:rFonts w:ascii="Times New Roman" w:hAnsi="Times New Roman" w:cs="Times New Roman"/>
          <w:color w:val="auto"/>
          <w:sz w:val="24"/>
          <w:szCs w:val="24"/>
        </w:rPr>
        <w:noBreakHyphen/>
        <w:t>year work plans for submittal to the Secretary pursuant to paragraph (11)(i) of this section.</w:t>
      </w:r>
    </w:p>
    <w:p w14:paraId="5B69F5F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B0D715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(xvi) Recommending, based on the best available science, refined interim recovery goals for the Bitterroot Chapter of the Grizzly Bear Recovery Plan and a final recovery goal when sufficient information is available.  Sufficient information is currently not available to develop a scientifically sound final recovery goal.  As this information becomes available, the Committee may recommend the recovery goal to the Secretary along with procedures for determining how this goal will be measured.  The recovery goal for the Bitterroot grizzly bear population will be consistent with the habitat available within the Recovery Area.  Additional adjacent areas of public land can be considered for contribution of suitable habitat when setting the recovery goal if it is shown to be necessary by the best scientific and commercial data available.  Any recommendations for revised recovery goals developed by the Committee will require public review and our formal approval as appropriate prior to revision of any recovery plan.  Grizzly bears outside the Recovery Area and within the Experimental Population Area can contribute to </w:t>
      </w:r>
      <w:r>
        <w:rPr>
          <w:rFonts w:ascii="Times New Roman" w:hAnsi="Times New Roman" w:cs="Times New Roman"/>
          <w:color w:val="auto"/>
          <w:sz w:val="24"/>
          <w:szCs w:val="24"/>
        </w:rPr>
        <w:lastRenderedPageBreak/>
        <w:t>meeting the recovery goal if there is reasonable certainty of their long</w:t>
      </w:r>
      <w:r>
        <w:rPr>
          <w:rFonts w:ascii="Times New Roman" w:hAnsi="Times New Roman" w:cs="Times New Roman"/>
          <w:color w:val="auto"/>
          <w:sz w:val="24"/>
          <w:szCs w:val="24"/>
        </w:rPr>
        <w:noBreakHyphen/>
        <w:t>term occupancy in such habitats outside the Recovery Area.</w:t>
      </w:r>
    </w:p>
    <w:p w14:paraId="1DC15545"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CF102E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(10)  What agencies will be responsible for day-to-day management activities? </w:t>
      </w:r>
    </w:p>
    <w:p w14:paraId="6509DCD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66929E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The Idaho Department of Fish and Game, the Nez Perce Tribe, the Montana Department of Fish, Wildlife and Parks,  and/or the Forest Service, in coordination with us, will exercise day</w:t>
      </w:r>
      <w:r>
        <w:rPr>
          <w:rFonts w:ascii="Times New Roman" w:hAnsi="Times New Roman" w:cs="Times New Roman"/>
          <w:color w:val="auto"/>
          <w:sz w:val="24"/>
          <w:szCs w:val="24"/>
        </w:rPr>
        <w:noBreakHyphen/>
        <w:t>to</w:t>
      </w:r>
      <w:r>
        <w:rPr>
          <w:rFonts w:ascii="Times New Roman" w:hAnsi="Times New Roman" w:cs="Times New Roman"/>
          <w:color w:val="auto"/>
          <w:sz w:val="24"/>
          <w:szCs w:val="24"/>
        </w:rPr>
        <w:noBreakHyphen/>
        <w:t>day management responsibility within the Experimental Population Area in accordance with this rule.  The Service and these cooperating agencies will share management responsibility as per agreements with, and in consideration of, recommendations from the Committee.</w:t>
      </w:r>
    </w:p>
    <w:p w14:paraId="4B792C9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2B0034F"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(11)  How will progress of the Committee be monitored; and what process will be followed by the Secretary to resolve disputes over whether Committee actions are leading to recovery?</w:t>
      </w:r>
    </w:p>
    <w:p w14:paraId="357BA38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33C290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The Secretary or our representative will review 2</w:t>
      </w:r>
      <w:r>
        <w:rPr>
          <w:rFonts w:ascii="Times New Roman" w:hAnsi="Times New Roman" w:cs="Times New Roman"/>
          <w:color w:val="auto"/>
          <w:sz w:val="24"/>
          <w:szCs w:val="24"/>
        </w:rPr>
        <w:noBreakHyphen/>
        <w:t xml:space="preserve">year work plans to be submitted by the Committee which outline the directions for the Bitterroot recovery effort.  If the Secretary determines, through our representative on the Committee, that the decisions of the Committee, the management plans, or the implementation of those plans are not leading to the recovery of the grizzly bear within the Experimental Population Area or are not in compliance with this special rule, our representative will solicit from the Committee its determination on whether such a decision, plan, or implementation of a plan is leading to recovery and is in compliance with this special rule.  Notwithstanding a determination by the Committee that a decision, plan, or </w:t>
      </w:r>
      <w:r>
        <w:rPr>
          <w:rFonts w:ascii="Times New Roman" w:hAnsi="Times New Roman" w:cs="Times New Roman"/>
          <w:color w:val="auto"/>
          <w:sz w:val="24"/>
          <w:szCs w:val="24"/>
        </w:rPr>
        <w:lastRenderedPageBreak/>
        <w:t>implementation of a plan is leading to recovery of the grizzly bear within the Experimental Population Area or is in compliance with this rule, the Secretary, who necessarily retains final responsibility and authority for implementation of the Act, may find that a decision, plan, or implementation of a plan is inadequate for recovery or is not in compliance with this rule.  Should such a finding me made, the Secretary may resume lead management responsibility as provided in sections (ii), (iii), and (iv) of this paragraph.</w:t>
      </w:r>
    </w:p>
    <w:p w14:paraId="15FE3BD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549B81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(ii) The Service representative will consider Committee input before making any determination that Committee actions are not leading to recovery or not in compliance with this special rule.  In the event that our representative on the Committee determines that the actions of the Committee are not leading to recovery of the Bitterroot grizzly bear population or are not in compliance with this rule, then he/she will recommend to the Committee, based on the best scientific and commercial data available, alternative or corrective actions and provide 6-months for the Committee to accomplish those actions.  Should the Committee reject these corrective actions, our representative will convene a Scientific Review Panel of three and will submit to the panel for review those Committee actions that he/she has determined are not leading to recovery or are not in compliance with this special rule.  The Service representative will consider the views of all Committee members prior to convening a Scientific Review Panel.</w:t>
      </w:r>
    </w:p>
    <w:p w14:paraId="0827105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DA9800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(iii)   Members of the Scientific Review Panel will be professional scientists who have had no involvement with the Committee and will not be employed by Federal agencies responsible for grizzly bear recovery efforts.  The Secretary will select one member of the panel, and the Governors of Idaho and Montana in consultation with the </w:t>
      </w:r>
      <w:r>
        <w:rPr>
          <w:rFonts w:ascii="Times New Roman" w:hAnsi="Times New Roman" w:cs="Times New Roman"/>
          <w:color w:val="auto"/>
          <w:sz w:val="24"/>
          <w:szCs w:val="24"/>
        </w:rPr>
        <w:lastRenderedPageBreak/>
        <w:t>Universities of Idaho and Montana (respectively), will select one panel member each.  The Scientific Review Panel will review Committee options, solicit additional information if necessary and, using the best scientific and commercial data available, make timely recommendations to the Committee as to whether Committee actions will lead to recovery of the grizzly bear in the Bitterroot Ecosystem and are in compliance with the special rule.  Examples of Committee actions that can be submitted to the Scientific Review Panel include, but are not limited to, the following: sufficiency of public involvement in Committee activities; decisions involving sanitation and outreach activities; management of nuisance bears; adequacy of recommendations to land and wildlife management agencies; adequacy of Committee actions in addressing issues such as excessive human-caused grizzly bear mortality; and other actions important to recovery of the grizzly bear in the Bitterroot Ecosystem.  The basis for the recommendations of the Scientific Review Panel will be Committee compliance with the Special Rule.</w:t>
      </w:r>
    </w:p>
    <w:p w14:paraId="4AA0E0B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8D975F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(iv)   If, after timely review, the Committee rejects the recommendations of the Scientific Review Panel, and our representative determines that Committee actions are not leading to recovery of the Bitterroot population, he/she will notify the Secretary.  The Secretary will review the Panel's recommendations.  If the Secretary decides to assume lead management responsibility, he/she will consult with the Governors of Idaho and Montana regarding the reasons for his/her decision and further attempt to resolve the disagreement.  If, after such consultation, the Secretary assumes lead management responsibility, he/she will take appropriate actions to ensure there is an adequate regulatory process relating to Department of the Interior management of grizzly bears, and will publish a Notice in the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explaining the rationale for the </w:t>
      </w:r>
      <w:r>
        <w:rPr>
          <w:rFonts w:ascii="Times New Roman" w:hAnsi="Times New Roman" w:cs="Times New Roman"/>
          <w:color w:val="auto"/>
          <w:sz w:val="24"/>
          <w:szCs w:val="24"/>
        </w:rPr>
        <w:lastRenderedPageBreak/>
        <w:t>determination and notify the Governors of Idaho and Montana.  The Committee will disband, and all requirements identified in the special rule regarding the Committee will be nullified.  If the Secretary determines that the Committee should maintain lead management responsibility, the Committee will continue to operate according to the provisions of this special rule until the recovery objectives under paragraph (9)(xvi) of this section or the Bitterroot Chapter of the Recovery Plan have been met and the Secretary has completed delisting.</w:t>
      </w:r>
    </w:p>
    <w:p w14:paraId="69905CE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247E1C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(12)  How will the Bitterroot grizzly bear population be monitored?</w:t>
      </w:r>
    </w:p>
    <w:p w14:paraId="7AAD786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BF174A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The reintroduced population will be monitored closely for the duration of the recovery process, generally by use of radio telemetry as appropriate.</w:t>
      </w:r>
    </w:p>
    <w:p w14:paraId="2914946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58E827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(13)  How will success or failure of the project be evaluated? </w:t>
      </w:r>
    </w:p>
    <w:p w14:paraId="172F246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6939CB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The status of Bitterroot grizzly bear recovery will be reevaluated separately by the Committee and by the Secretary at 5</w:t>
      </w:r>
      <w:r>
        <w:rPr>
          <w:rFonts w:ascii="Times New Roman" w:hAnsi="Times New Roman" w:cs="Times New Roman"/>
          <w:color w:val="auto"/>
          <w:sz w:val="24"/>
          <w:szCs w:val="24"/>
        </w:rPr>
        <w:noBreakHyphen/>
        <w:t>year intervals.  This review will take into account the reproductive success of the grizzly bears released, human</w:t>
      </w:r>
      <w:r>
        <w:rPr>
          <w:rFonts w:ascii="Times New Roman" w:hAnsi="Times New Roman" w:cs="Times New Roman"/>
          <w:color w:val="auto"/>
          <w:sz w:val="24"/>
          <w:szCs w:val="24"/>
        </w:rPr>
        <w:noBreakHyphen/>
        <w:t>caused mortality, movement patterns of individual bears, food habits, and overall health of the population, and will recommend changes and improvements in the recovery program.  These parameters will be evaluated to assist in determination of success or failure of the restoration project.</w:t>
      </w:r>
    </w:p>
    <w:p w14:paraId="67EF0B0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88674B0"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(14)  What process will be followed if the Secretary determines the project has failed?</w:t>
      </w:r>
    </w:p>
    <w:p w14:paraId="393774C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F87E54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 xml:space="preserve">(i)   </w:t>
      </w:r>
      <w:r>
        <w:rPr>
          <w:rFonts w:ascii="Times New Roman" w:hAnsi="Times New Roman" w:cs="Times New Roman"/>
          <w:color w:val="auto"/>
          <w:sz w:val="24"/>
          <w:szCs w:val="24"/>
          <w:u w:val="single"/>
        </w:rPr>
        <w:t>Determination of an Unsuccessful Reintroduction under Nonessential Experimental Designation by the Secretary</w:t>
      </w:r>
      <w:r>
        <w:rPr>
          <w:rFonts w:ascii="Times New Roman" w:hAnsi="Times New Roman" w:cs="Times New Roman"/>
          <w:color w:val="auto"/>
          <w:sz w:val="24"/>
          <w:szCs w:val="24"/>
        </w:rPr>
        <w:t>.  If, based on the criteria established by the Committee, the Secretary, after consultation with the Committee, the States of Idaho and Montana, the Idaho Department of Fish and Game, the Montana Department of Fish, Wildlife and Parks, and the Nez Perce Tribe, that the reintroduction has failed to produce a self</w:t>
      </w:r>
      <w:r>
        <w:rPr>
          <w:rFonts w:ascii="Times New Roman" w:hAnsi="Times New Roman" w:cs="Times New Roman"/>
          <w:color w:val="auto"/>
          <w:sz w:val="24"/>
          <w:szCs w:val="24"/>
        </w:rPr>
        <w:noBreakHyphen/>
        <w:t xml:space="preserve">sustaining population, this rule will not be utilized to reintroduce additional bears.  Any remaining bears will retain their experimental status.  </w:t>
      </w:r>
    </w:p>
    <w:p w14:paraId="3B73158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90EB6B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However, prior to declaring the experimental reintroduction a failure, we will conduct an evaluation into the probable causes of the failure.  If the causes can be determined, and legal and reasonable remedial measures identified and implemented, we will consider continuing the recovery effort and maintaining the relocated population.  If such reasonable measures cannot be identified and implemented, we will publish the results of our evaluation in the </w:t>
      </w:r>
      <w:r>
        <w:rPr>
          <w:rFonts w:ascii="Times New Roman" w:hAnsi="Times New Roman" w:cs="Times New Roman"/>
          <w:color w:val="auto"/>
          <w:sz w:val="24"/>
          <w:szCs w:val="24"/>
          <w:u w:val="single"/>
        </w:rPr>
        <w:t>Federal</w:t>
      </w:r>
      <w:r>
        <w:rPr>
          <w:rFonts w:ascii="Times New Roman" w:hAnsi="Times New Roman" w:cs="Times New Roman"/>
          <w:color w:val="auto"/>
          <w:sz w:val="24"/>
          <w:szCs w:val="24"/>
        </w:rPr>
        <w:t xml:space="preserve"> </w:t>
      </w:r>
      <w:r>
        <w:rPr>
          <w:rFonts w:ascii="Times New Roman" w:hAnsi="Times New Roman" w:cs="Times New Roman"/>
          <w:color w:val="auto"/>
          <w:sz w:val="24"/>
          <w:szCs w:val="24"/>
          <w:u w:val="single"/>
        </w:rPr>
        <w:t>Register</w:t>
      </w:r>
      <w:r>
        <w:rPr>
          <w:rFonts w:ascii="Times New Roman" w:hAnsi="Times New Roman" w:cs="Times New Roman"/>
          <w:color w:val="auto"/>
          <w:sz w:val="24"/>
          <w:szCs w:val="24"/>
        </w:rPr>
        <w:t xml:space="preserve"> in a proposed rulemaking to terminate the authority for additional experimental grizzly bear reintroductions in the Bitterroot Ecosystem.</w:t>
      </w:r>
    </w:p>
    <w:p w14:paraId="5485357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560268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(15) Will the legal status of grizzly bears in the Experimental Population Area change?</w:t>
      </w:r>
    </w:p>
    <w:p w14:paraId="24B2501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7B7A71F"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t>(i) We do not intend to change the “nonessential experimental” designation to “essential experimental”, “threatened”, or “endangered” and foresee no likely situation which would result in such changes.  Critical habitat cannot be designated under the nonessential experimental classification, 16 U.S.C. 1539(j)(2)(C)(ii).</w:t>
      </w:r>
    </w:p>
    <w:p w14:paraId="0B933A8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A387CC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lastRenderedPageBreak/>
        <w:tab/>
        <w:t>(16)  What are the definitions of key terms utilized in this special rule?</w:t>
      </w:r>
    </w:p>
    <w:p w14:paraId="5418635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6A7FA8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Accommodate</w:t>
      </w:r>
      <w:r>
        <w:rPr>
          <w:rFonts w:ascii="Times New Roman" w:hAnsi="Times New Roman" w:cs="Times New Roman"/>
          <w:color w:val="auto"/>
          <w:sz w:val="24"/>
          <w:szCs w:val="24"/>
        </w:rPr>
        <w:t xml:space="preserve"> means grizzly bears that move outside the Recovery Area onto public land in the Experimental Population Area will not be disturbed unless they demonstrate a real and imminent threat to human safety or livestock.</w:t>
      </w:r>
    </w:p>
    <w:p w14:paraId="354261B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EAC439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Bitterroot Grizzly Bear Experimental Population Area</w:t>
      </w:r>
      <w:r>
        <w:rPr>
          <w:rFonts w:ascii="Times New Roman" w:hAnsi="Times New Roman" w:cs="Times New Roman"/>
          <w:color w:val="auto"/>
          <w:sz w:val="24"/>
          <w:szCs w:val="24"/>
        </w:rPr>
        <w:t xml:space="preserve"> means that area delineated in paragraph (1)[one](i) of this section, which includes the Bitterroot Grizzly Bear Recovery Area, and within which management plans developed as part of the Citizen Management Committee (Committee) described in paragraph (9) of this section will be in effect.  This area is within the historic range of the grizzly bear, but geographically separate from the current range of the grizzly bear.</w:t>
      </w:r>
    </w:p>
    <w:p w14:paraId="41A9A69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46995B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Bitterroot Grizzly Bear Recovery Area</w:t>
      </w:r>
      <w:r>
        <w:rPr>
          <w:rFonts w:ascii="Times New Roman" w:hAnsi="Times New Roman" w:cs="Times New Roman"/>
          <w:color w:val="auto"/>
          <w:sz w:val="24"/>
          <w:szCs w:val="24"/>
        </w:rPr>
        <w:t xml:space="preserve"> (Recovery Area) means that area delineated in paragraph (2)(i) of this section within which a nonessential experimental population of grizzly bears is to be released.  This area is the Selway</w:t>
      </w:r>
      <w:r>
        <w:rPr>
          <w:rFonts w:ascii="Times New Roman" w:hAnsi="Times New Roman" w:cs="Times New Roman"/>
          <w:color w:val="auto"/>
          <w:sz w:val="24"/>
          <w:szCs w:val="24"/>
        </w:rPr>
        <w:noBreakHyphen/>
        <w:t>Bitterroot and Frank Church-River of No Return Wilderness areas and is the area of recovery emphasis.  The Recovery Area is within the historic range of the species.</w:t>
      </w:r>
    </w:p>
    <w:p w14:paraId="01A0C48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F9F3F7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Bitterroot Valley</w:t>
      </w:r>
      <w:r>
        <w:rPr>
          <w:rFonts w:ascii="Times New Roman" w:hAnsi="Times New Roman" w:cs="Times New Roman"/>
          <w:color w:val="auto"/>
          <w:sz w:val="24"/>
          <w:szCs w:val="24"/>
        </w:rPr>
        <w:t xml:space="preserve"> (Exclusion Area) means those private lands lying within the Bitterroot Experimental Population Area outside the Bitterroot National Forest boundary south of U.S. Highway 12 to Lost Trail Pass.</w:t>
      </w:r>
    </w:p>
    <w:p w14:paraId="6B5361D8"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8DD9317"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Citizen Management Committee</w:t>
      </w:r>
      <w:r>
        <w:rPr>
          <w:rFonts w:ascii="Times New Roman" w:hAnsi="Times New Roman" w:cs="Times New Roman"/>
          <w:color w:val="auto"/>
          <w:sz w:val="24"/>
          <w:szCs w:val="24"/>
        </w:rPr>
        <w:t xml:space="preserve"> (Committee) means that Committee described in paragraph (6) of this section.</w:t>
      </w:r>
    </w:p>
    <w:p w14:paraId="6760C61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69BB65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Current range</w:t>
      </w:r>
      <w:r>
        <w:rPr>
          <w:rFonts w:ascii="Times New Roman" w:hAnsi="Times New Roman" w:cs="Times New Roman"/>
          <w:color w:val="auto"/>
          <w:sz w:val="24"/>
          <w:szCs w:val="24"/>
        </w:rPr>
        <w:t xml:space="preserve"> means the area inside or within 10 miles of the recovery zone line of currently occupied grizzly bear recovery zones.</w:t>
      </w:r>
    </w:p>
    <w:p w14:paraId="1EAE457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EAB289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Geographically separate</w:t>
      </w:r>
      <w:r>
        <w:rPr>
          <w:rFonts w:ascii="Times New Roman" w:hAnsi="Times New Roman" w:cs="Times New Roman"/>
          <w:color w:val="auto"/>
          <w:sz w:val="24"/>
          <w:szCs w:val="24"/>
        </w:rPr>
        <w:t xml:space="preserve"> (refers to  Act section 10(j)(2) term “wholly separate geographically”) means the Experimental Population Area and the recovery zone boundary of any existing grizzly bear population are separated by more than 10 miles.</w:t>
      </w:r>
    </w:p>
    <w:p w14:paraId="274009B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EC1461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Grizzly bear population</w:t>
      </w:r>
      <w:r>
        <w:rPr>
          <w:rFonts w:ascii="Times New Roman" w:hAnsi="Times New Roman" w:cs="Times New Roman"/>
          <w:color w:val="auto"/>
          <w:sz w:val="24"/>
          <w:szCs w:val="24"/>
        </w:rPr>
        <w:t xml:space="preserve"> is defined by verified evidence within the previous six years, consisting of photos within the area, verified tracks and/or sightings by reputable scientists or agency personnel, of at least two different female grizzly bears with young or one female seen with different litters in two different years in an area geographically distinct from other grizzly bear populations.  Verifiable evidence of females with young, to be geographically distinct, would have to occur greater than 10 miles from the nearest non</w:t>
      </w:r>
      <w:r>
        <w:rPr>
          <w:rFonts w:ascii="Times New Roman" w:hAnsi="Times New Roman" w:cs="Times New Roman"/>
          <w:color w:val="auto"/>
          <w:sz w:val="24"/>
          <w:szCs w:val="24"/>
        </w:rPr>
        <w:noBreakHyphen/>
        <w:t>experimental grizzly bear population recovery zone boundary.</w:t>
      </w:r>
    </w:p>
    <w:p w14:paraId="37AA91F5"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5AE474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Harass</w:t>
      </w:r>
      <w:r>
        <w:rPr>
          <w:rFonts w:ascii="Times New Roman" w:hAnsi="Times New Roman" w:cs="Times New Roman"/>
          <w:color w:val="auto"/>
          <w:sz w:val="24"/>
          <w:szCs w:val="24"/>
        </w:rPr>
        <w:t xml:space="preserve"> means “intentional or negligent act or omission which creates the likelihood of injury to the wildlife by annoying it to such an extent as to significantly disrupt normal behavioral patterns which include, but are not limited to, breeding, feeding, or sheltering” (50 CFR 17.3).  This experimental population rule permits only “opportunistic, noninjurious harassment” (see definition below).</w:t>
      </w:r>
    </w:p>
    <w:p w14:paraId="29F188D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321BB1B1"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Opportunistic, noninjurious harassment</w:t>
      </w:r>
      <w:r>
        <w:rPr>
          <w:rFonts w:ascii="Times New Roman" w:hAnsi="Times New Roman" w:cs="Times New Roman"/>
          <w:color w:val="auto"/>
          <w:sz w:val="24"/>
          <w:szCs w:val="24"/>
        </w:rPr>
        <w:t xml:space="preserve"> (see “harass”) means as the grizzly bear presents itself (for example, the bear travels onto and is observed on private land or near livestock).  This is the only type of harassment permitted by this rule.  You cannot </w:t>
      </w:r>
      <w:r>
        <w:rPr>
          <w:rFonts w:ascii="Times New Roman" w:hAnsi="Times New Roman" w:cs="Times New Roman"/>
          <w:color w:val="auto"/>
          <w:sz w:val="24"/>
          <w:szCs w:val="24"/>
        </w:rPr>
        <w:lastRenderedPageBreak/>
        <w:t xml:space="preserve">track, attract, search out, or chase a grizzly bear and then harass it.  Any harassment must not cause bodily injury or death to the grizzly bear.  The basic intent of harassment permitted by this rule is to scare bears away from the immediate area. </w:t>
      </w:r>
    </w:p>
    <w:p w14:paraId="6B7CAA5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28A0B489"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Recovery emphasis</w:t>
      </w:r>
      <w:r>
        <w:rPr>
          <w:rFonts w:ascii="Times New Roman" w:hAnsi="Times New Roman" w:cs="Times New Roman"/>
          <w:color w:val="auto"/>
          <w:sz w:val="24"/>
          <w:szCs w:val="24"/>
        </w:rPr>
        <w:t xml:space="preserve"> means grizzly bear management decisions in the Recovery Area will favor bear recovery so that this area can serve as core habitat for survival, reproduction, and dispersal of the recovering population; reintroduction of bears will occur within the Recovery Area and all reintroduction will occur within the Selway</w:t>
      </w:r>
      <w:r>
        <w:rPr>
          <w:rFonts w:ascii="Times New Roman" w:hAnsi="Times New Roman" w:cs="Times New Roman"/>
          <w:color w:val="auto"/>
          <w:sz w:val="24"/>
          <w:szCs w:val="24"/>
        </w:rPr>
        <w:noBreakHyphen/>
        <w:t>Bitterroot Wilderness portion of the Recovery Area.</w:t>
      </w:r>
    </w:p>
    <w:p w14:paraId="383AC44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18805A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Take</w:t>
      </w:r>
      <w:r>
        <w:rPr>
          <w:rFonts w:ascii="Times New Roman" w:hAnsi="Times New Roman" w:cs="Times New Roman"/>
          <w:color w:val="auto"/>
          <w:sz w:val="24"/>
          <w:szCs w:val="24"/>
        </w:rPr>
        <w:t xml:space="preserve"> means “to harass, harm, pursue, hunt, shoot, wound, kill, trap, capture, or collect, or to attempt to engage in any such conduct” (16 U.S.C. 1532(19).  Also see definition of “harass”, “opportunistic, noninjurious harassment, and “unavoidable and unintentional take”.</w:t>
      </w:r>
    </w:p>
    <w:p w14:paraId="1A4E6E54"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DEB53FF"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u w:val="single"/>
        </w:rPr>
        <w:t>Unavoidable and unintentional take</w:t>
      </w:r>
      <w:r>
        <w:rPr>
          <w:rFonts w:ascii="Times New Roman" w:hAnsi="Times New Roman" w:cs="Times New Roman"/>
          <w:color w:val="auto"/>
          <w:sz w:val="24"/>
          <w:szCs w:val="24"/>
        </w:rPr>
        <w:t xml:space="preserve"> means accidental, unintentional take (see definition of “Take”) which occurs despite reasonable care, is incidental to an otherwise lawful activity, and is not done on purpose.  An example would be striking a grizzly bear with an automobile.  Taking a grizzly bear by shooting will not be considered unavoidable, accidental, or unintentional take. Shooters have the responsibility to be sure of their targets.  </w:t>
      </w:r>
    </w:p>
    <w:p w14:paraId="5802426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9BAC21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vanish/>
          <w:color w:val="auto"/>
          <w:sz w:val="24"/>
          <w:szCs w:val="24"/>
        </w:rPr>
      </w:pPr>
      <w:r>
        <w:rPr>
          <w:rFonts w:ascii="Times New Roman" w:hAnsi="Times New Roman" w:cs="Times New Roman"/>
          <w:color w:val="auto"/>
          <w:sz w:val="24"/>
          <w:szCs w:val="24"/>
        </w:rPr>
        <w:br w:type="page"/>
      </w:r>
    </w:p>
    <w:p w14:paraId="3CB591B3" w14:textId="77777777" w:rsidR="00B60579" w:rsidRDefault="00B60579">
      <w:pPr>
        <w:framePr w:w="4620" w:h="12804" w:hSpace="240" w:vSpace="240" w:wrap="auto" w:vAnchor="page" w:hAnchor="margin" w:x="-2129" w:y="1"/>
        <w:pBdr>
          <w:top w:val="single" w:sz="7" w:space="0" w:color="auto"/>
          <w:left w:val="single" w:sz="7" w:space="0" w:color="auto"/>
          <w:bottom w:val="single" w:sz="7" w:space="0" w:color="auto"/>
          <w:right w:val="single" w:sz="7" w:space="0" w:color="auto"/>
        </w:pBdr>
        <w:tabs>
          <w:tab w:val="left" w:pos="-720"/>
        </w:tabs>
        <w:rPr>
          <w:rFonts w:ascii="Times New Roman" w:hAnsi="Times New Roman" w:cs="Times New Roman"/>
          <w:color w:val="auto"/>
          <w:sz w:val="24"/>
          <w:szCs w:val="24"/>
        </w:rPr>
      </w:pPr>
    </w:p>
    <w:p w14:paraId="1CA35E97" w14:textId="77777777" w:rsidR="00B60579" w:rsidRDefault="00B60579">
      <w:pPr>
        <w:pStyle w:val="Caption"/>
        <w:framePr w:w="4620" w:h="12804" w:hSpace="240" w:vSpace="240" w:wrap="auto" w:vAnchor="page" w:hAnchor="margin" w:x="-2129" w:y="1"/>
        <w:tabs>
          <w:tab w:val="left" w:pos="-720"/>
        </w:tabs>
        <w:suppressAutoHyphens/>
        <w:spacing w:line="240" w:lineRule="atLeast"/>
        <w:ind w:left="-30" w:right="-30"/>
        <w:rPr>
          <w:rFonts w:ascii="Times New Roman" w:hAnsi="Times New Roman" w:cs="Times New Roman"/>
        </w:rPr>
      </w:pPr>
      <w:r>
        <w:rPr>
          <w:rFonts w:ascii="Times New Roman" w:hAnsi="Times New Roman" w:cs="Times New Roman"/>
          <w:vanish/>
        </w:rPr>
        <w:fldChar w:fldCharType="begin"/>
      </w:r>
      <w:r>
        <w:rPr>
          <w:rFonts w:ascii="Times New Roman" w:hAnsi="Times New Roman" w:cs="Times New Roman"/>
          <w:vanish/>
        </w:rPr>
        <w:instrText>seq Figure  \* Arabic  \r0</w:instrText>
      </w:r>
      <w:r>
        <w:rPr>
          <w:rFonts w:ascii="Times New Roman" w:hAnsi="Times New Roman" w:cs="Times New Roman"/>
          <w:vanish/>
        </w:rPr>
        <w:fldChar w:fldCharType="separate"/>
      </w:r>
      <w:r>
        <w:rPr>
          <w:rFonts w:ascii="Times New Roman" w:hAnsi="Times New Roman" w:cs="Times New Roman"/>
          <w:vanish/>
        </w:rPr>
        <w:t>0</w:t>
      </w:r>
      <w:r>
        <w:rPr>
          <w:rFonts w:ascii="Times New Roman" w:hAnsi="Times New Roman" w:cs="Times New Roman"/>
          <w:vanish/>
        </w:rPr>
        <w:fldChar w:fldCharType="end"/>
      </w:r>
      <w:r>
        <w:rPr>
          <w:rFonts w:ascii="Times New Roman" w:hAnsi="Times New Roman" w:cs="Times New Roman"/>
        </w:rPr>
        <w:t>The Bitterroot Grizzly Bear Recovery Area and Bitterroot Grizzly Bear Experimental Population Area.</w:t>
      </w:r>
    </w:p>
    <w:p w14:paraId="4270832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7165114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4D5529B6"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572DFF43"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Dated:</w:t>
      </w:r>
      <w:r>
        <w:rPr>
          <w:rFonts w:ascii="Times New Roman" w:hAnsi="Times New Roman" w:cs="Times New Roman"/>
          <w:color w:val="auto"/>
          <w:sz w:val="24"/>
          <w:szCs w:val="24"/>
          <w:u w:val="single"/>
        </w:rPr>
        <w:t xml:space="preserve">                                          </w:t>
      </w:r>
    </w:p>
    <w:p w14:paraId="1AA68682"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0182E28D"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1539ECFA"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p>
    <w:p w14:paraId="6A44FDAC"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u w:val="single"/>
        </w:rPr>
        <w:t xml:space="preserve">                                                                        </w:t>
      </w:r>
    </w:p>
    <w:p w14:paraId="73C4A66E" w14:textId="77777777" w:rsidR="00B60579" w:rsidRDefault="00B60579">
      <w:pPr>
        <w:tabs>
          <w:tab w:val="left" w:pos="-1440"/>
          <w:tab w:val="left" w:pos="-978"/>
          <w:tab w:val="left" w:pos="-258"/>
          <w:tab w:val="left" w:pos="462"/>
          <w:tab w:val="left" w:pos="720"/>
        </w:tabs>
        <w:spacing w:line="480" w:lineRule="atLeast"/>
        <w:rPr>
          <w:rFonts w:ascii="Times New Roman" w:hAnsi="Times New Roman" w:cs="Times New Roman"/>
          <w:color w:val="auto"/>
          <w:sz w:val="24"/>
          <w:szCs w:val="24"/>
        </w:rPr>
      </w:pPr>
      <w:r>
        <w:rPr>
          <w:rFonts w:ascii="Times New Roman" w:hAnsi="Times New Roman" w:cs="Times New Roman"/>
          <w:color w:val="auto"/>
          <w:sz w:val="24"/>
          <w:szCs w:val="24"/>
        </w:rPr>
        <w:t>Assistant Secretary, Fish, Wildlife and Parks</w:t>
      </w:r>
    </w:p>
    <w:p w14:paraId="5A31C48B"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424DE8A1" w14:textId="77777777" w:rsidR="00B60579" w:rsidRDefault="00B60579">
      <w:pPr>
        <w:tabs>
          <w:tab w:val="left" w:pos="-1440"/>
          <w:tab w:val="left" w:pos="-978"/>
          <w:tab w:val="left" w:pos="-258"/>
          <w:tab w:val="left" w:pos="462"/>
          <w:tab w:val="left" w:pos="720"/>
        </w:tabs>
        <w:rPr>
          <w:rFonts w:ascii="Times New Roman" w:hAnsi="Times New Roman" w:cs="Times New Roman"/>
          <w:strike/>
          <w:color w:val="auto"/>
          <w:sz w:val="24"/>
          <w:szCs w:val="24"/>
        </w:rPr>
      </w:pPr>
      <w:r>
        <w:rPr>
          <w:rFonts w:ascii="Times New Roman" w:hAnsi="Times New Roman" w:cs="Times New Roman"/>
          <w:strike/>
          <w:color w:val="auto"/>
          <w:sz w:val="24"/>
          <w:szCs w:val="24"/>
        </w:rPr>
        <w:t>(Final Rule:  Establishing a Nonessential Experimental Population of Grizzly Bears in the Bitterroot Ecosystem, Idaho and Montana)</w:t>
      </w:r>
    </w:p>
    <w:p w14:paraId="41E2440D"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20597F37"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24722850"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4A815BE7"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5FAF9AC3"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6ED10F9E"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65510600"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70601386"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p w14:paraId="30DA009B" w14:textId="77777777" w:rsidR="00B60579" w:rsidRDefault="00B60579">
      <w:pPr>
        <w:tabs>
          <w:tab w:val="left" w:pos="-1440"/>
          <w:tab w:val="left" w:pos="-978"/>
          <w:tab w:val="left" w:pos="-258"/>
          <w:tab w:val="left" w:pos="462"/>
          <w:tab w:val="left" w:pos="720"/>
        </w:tabs>
        <w:rPr>
          <w:rFonts w:ascii="Times New Roman" w:hAnsi="Times New Roman" w:cs="Times New Roman"/>
          <w:color w:val="auto"/>
          <w:sz w:val="24"/>
          <w:szCs w:val="24"/>
        </w:rPr>
      </w:pPr>
    </w:p>
    <w:sectPr w:rsidR="00B60579" w:rsidSect="00B60579">
      <w:pgSz w:w="12240" w:h="15840"/>
      <w:pgMar w:top="1440" w:right="1440" w:bottom="1440" w:left="216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C4314" w14:textId="77777777" w:rsidR="00B60579" w:rsidRDefault="00B60579">
      <w:pPr>
        <w:suppressAutoHyphens w:val="0"/>
        <w:spacing w:line="20" w:lineRule="exact"/>
        <w:rPr>
          <w:color w:val="auto"/>
          <w:sz w:val="24"/>
          <w:szCs w:val="24"/>
        </w:rPr>
      </w:pPr>
    </w:p>
  </w:endnote>
  <w:endnote w:type="continuationSeparator" w:id="0">
    <w:p w14:paraId="32948348" w14:textId="77777777" w:rsidR="00B60579" w:rsidRDefault="00B60579" w:rsidP="00B60579">
      <w:r>
        <w:rPr>
          <w:color w:val="auto"/>
          <w:sz w:val="24"/>
          <w:szCs w:val="24"/>
        </w:rPr>
        <w:t xml:space="preserve"> </w:t>
      </w:r>
    </w:p>
  </w:endnote>
  <w:endnote w:type="continuationNotice" w:id="1">
    <w:p w14:paraId="0B6FEFC8" w14:textId="77777777" w:rsidR="00B60579" w:rsidRDefault="00B60579" w:rsidP="00B60579">
      <w:r>
        <w:rPr>
          <w:color w:val="auto"/>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98EC" w14:textId="77777777" w:rsidR="00B60579" w:rsidRDefault="00B60579">
    <w:pPr>
      <w:suppressAutoHyphens w:val="0"/>
      <w:spacing w:before="140" w:line="100" w:lineRule="exact"/>
      <w:rPr>
        <w:color w:val="auto"/>
        <w:sz w:val="10"/>
        <w:szCs w:val="10"/>
      </w:rPr>
    </w:pPr>
  </w:p>
  <w:p w14:paraId="4A626AA1" w14:textId="77777777" w:rsidR="00B60579" w:rsidRDefault="00B605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480" w:lineRule="atLeast"/>
      <w:rPr>
        <w:color w:val="auto"/>
        <w:sz w:val="24"/>
        <w:szCs w:val="24"/>
      </w:rPr>
    </w:pPr>
  </w:p>
  <w:p w14:paraId="3CA1749C" w14:textId="77777777" w:rsidR="00B60579" w:rsidRDefault="00B60579" w:rsidP="00B60579">
    <w:r>
      <w:rPr>
        <w:noProof/>
      </w:rPr>
      <w:pict w14:anchorId="6BC6D85F">
        <v:rect id="_x0000_s1025" style="position:absolute;margin-left:108pt;margin-top:12pt;width:6in;height:12pt;z-index:251657216;mso-position-horizontal-relative:page;mso-position-vertical-relative:text" o:allowincell="f" filled="f" stroked="f" strokeweight="0">
          <v:textbox inset="0,0,0,0">
            <w:txbxContent>
              <w:p w14:paraId="277155D6" w14:textId="77777777" w:rsidR="00B60579" w:rsidRDefault="00B60579">
                <w:pPr>
                  <w:tabs>
                    <w:tab w:val="center" w:pos="4320"/>
                    <w:tab w:val="right" w:pos="8640"/>
                  </w:tabs>
                  <w:suppressAutoHyphens w:val="0"/>
                  <w:spacing w:line="240" w:lineRule="auto"/>
                  <w:rPr>
                    <w:rFonts w:ascii="Times New Roman" w:hAnsi="Times New Roman" w:cs="Times New Roman"/>
                    <w:color w:val="auto"/>
                    <w:sz w:val="24"/>
                    <w:szCs w:val="24"/>
                  </w:rPr>
                </w:pPr>
                <w:r>
                  <w:rPr>
                    <w:color w:val="auto"/>
                    <w:sz w:val="24"/>
                    <w:szCs w:val="24"/>
                  </w:rPr>
                  <w:tab/>
                </w: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page \* arabic</w:instrText>
                </w:r>
                <w:r>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1</w:t>
                </w:r>
                <w:r>
                  <w:rPr>
                    <w:rFonts w:ascii="Times New Roman" w:hAnsi="Times New Roman" w:cs="Times New Roman"/>
                    <w:color w:val="auto"/>
                    <w:sz w:val="24"/>
                    <w:szCs w:val="24"/>
                  </w:rPr>
                  <w:fldChar w:fldCharType="end"/>
                </w:r>
              </w:p>
            </w:txbxContent>
          </v:textbox>
          <w10:wrap anchorx="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D368" w14:textId="77777777" w:rsidR="00B60579" w:rsidRDefault="00B60579">
    <w:pPr>
      <w:suppressAutoHyphens w:val="0"/>
      <w:spacing w:line="240" w:lineRule="auto"/>
      <w:rPr>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5F6C7" w14:textId="77777777" w:rsidR="00B60579" w:rsidRDefault="00B60579" w:rsidP="00B60579">
      <w:r>
        <w:rPr>
          <w:color w:val="auto"/>
          <w:sz w:val="24"/>
          <w:szCs w:val="24"/>
        </w:rPr>
        <w:separator/>
      </w:r>
    </w:p>
  </w:footnote>
  <w:footnote w:type="continuationSeparator" w:id="0">
    <w:p w14:paraId="76D24791" w14:textId="77777777" w:rsidR="00B60579" w:rsidRDefault="00B60579" w:rsidP="00B605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09417" w14:textId="77777777" w:rsidR="00B60579" w:rsidRDefault="00B60579">
    <w:pPr>
      <w:suppressAutoHyphens w:val="0"/>
      <w:spacing w:line="240" w:lineRule="auto"/>
      <w:rPr>
        <w:color w:val="auto"/>
        <w:sz w:val="24"/>
        <w:szCs w:val="24"/>
      </w:rPr>
    </w:pPr>
    <w:r>
      <w:rPr>
        <w:noProof/>
      </w:rPr>
      <w:pict w14:anchorId="4667A128">
        <v:rect id="_x0000_s1026" style="position:absolute;margin-left:108pt;margin-top:0;width:6in;height:12pt;z-index:251658240;mso-position-horizontal-relative:page;mso-position-vertical-relative:text" o:allowincell="f" filled="f" stroked="f" strokeweight="0">
          <v:textbox inset="0,0,0,0">
            <w:txbxContent>
              <w:p w14:paraId="33B18633" w14:textId="77777777" w:rsidR="00B60579" w:rsidRDefault="00B60579">
                <w:pPr>
                  <w:tabs>
                    <w:tab w:val="center" w:pos="4320"/>
                    <w:tab w:val="right" w:pos="8640"/>
                  </w:tabs>
                  <w:suppressAutoHyphens w:val="0"/>
                  <w:spacing w:line="240" w:lineRule="auto"/>
                  <w:rPr>
                    <w:rFonts w:ascii="Times New Roman" w:hAnsi="Times New Roman" w:cs="Times New Roman"/>
                    <w:color w:val="auto"/>
                    <w:sz w:val="24"/>
                    <w:szCs w:val="24"/>
                  </w:rPr>
                </w:pPr>
                <w:r>
                  <w:rPr>
                    <w:color w:val="auto"/>
                    <w:sz w:val="24"/>
                    <w:szCs w:val="24"/>
                  </w:rPr>
                  <w:tab/>
                </w: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page \* arabic</w:instrText>
                </w:r>
                <w:r>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2</w:t>
                </w:r>
                <w:r>
                  <w:rPr>
                    <w:rFonts w:ascii="Times New Roman" w:hAnsi="Times New Roman" w:cs="Times New Roman"/>
                    <w:color w:val="auto"/>
                    <w:sz w:val="24"/>
                    <w:szCs w:val="24"/>
                  </w:rPr>
                  <w:fldChar w:fldCharType="end"/>
                </w:r>
              </w:p>
            </w:txbxContent>
          </v:textbox>
          <w10:wrap anchorx="page"/>
        </v:rect>
      </w:pict>
    </w:r>
  </w:p>
  <w:p w14:paraId="43FE045B" w14:textId="77777777" w:rsidR="00B60579" w:rsidRDefault="00B60579">
    <w:pPr>
      <w:suppressAutoHyphens w:val="0"/>
      <w:spacing w:after="140" w:line="100" w:lineRule="exact"/>
      <w:rPr>
        <w:color w:val="auto"/>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FFFFFFFF"/>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768038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877"/>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 w:id="1"/>
  </w:endnotePr>
  <w:compat>
    <w:noTabHangInd/>
    <w:spaceForUL/>
    <w:noColumnBalance/>
    <w:balanceSingleByteDoubleByteWidth/>
    <w:doNotLeaveBackslashAlone/>
    <w:ulTrailSpace/>
    <w:doNotExpandShiftReturn/>
    <w:suppressTopSpacingWP/>
    <w:usePrinterMetrics/>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B60579"/>
    <w:rsid w:val="004B46B3"/>
    <w:rsid w:val="00B60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C5E420"/>
  <w14:defaultImageDpi w14:val="0"/>
  <w15:docId w15:val="{4D823BE6-0F81-4CBE-89FC-83ED2216B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pPr>
      <w:widowControl w:val="0"/>
      <w:suppressAutoHyphens/>
      <w:autoSpaceDE w:val="0"/>
      <w:autoSpaceDN w:val="0"/>
      <w:adjustRightInd w:val="0"/>
      <w:spacing w:after="0" w:line="240" w:lineRule="atLeast"/>
    </w:pPr>
    <w:rPr>
      <w:rFonts w:ascii="Courier New" w:hAnsi="Courier New" w:cs="Courier New"/>
      <w:color w:val="000000"/>
      <w:sz w:val="20"/>
      <w:szCs w:val="20"/>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pPr>
      <w:suppressAutoHyphens w:val="0"/>
      <w:spacing w:line="240" w:lineRule="auto"/>
    </w:pPr>
    <w:rPr>
      <w:color w:val="auto"/>
      <w:sz w:val="24"/>
      <w:szCs w:val="24"/>
    </w:rPr>
  </w:style>
  <w:style w:type="character" w:customStyle="1" w:styleId="EndnoteTextChar">
    <w:name w:val="Endnote Text Char"/>
    <w:basedOn w:val="DefaultParagraphFont"/>
    <w:link w:val="EndnoteText"/>
    <w:uiPriority w:val="99"/>
    <w:semiHidden/>
    <w:rsid w:val="00B60579"/>
    <w:rPr>
      <w:rFonts w:ascii="Courier New" w:hAnsi="Courier New" w:cs="Courier New"/>
      <w:sz w:val="20"/>
      <w:szCs w:val="20"/>
    </w:rPr>
  </w:style>
  <w:style w:type="character" w:styleId="EndnoteReference">
    <w:name w:val="endnote reference"/>
    <w:basedOn w:val="DefaultParagraphFont"/>
    <w:uiPriority w:val="99"/>
    <w:rPr>
      <w:vertAlign w:val="superscript"/>
    </w:rPr>
  </w:style>
  <w:style w:type="paragraph" w:styleId="FootnoteText">
    <w:name w:val="footnote text"/>
    <w:basedOn w:val="Normal"/>
    <w:link w:val="FootnoteTextChar"/>
    <w:uiPriority w:val="99"/>
    <w:pPr>
      <w:suppressAutoHyphens w:val="0"/>
      <w:spacing w:line="240" w:lineRule="auto"/>
    </w:pPr>
    <w:rPr>
      <w:color w:val="auto"/>
      <w:sz w:val="24"/>
      <w:szCs w:val="24"/>
    </w:rPr>
  </w:style>
  <w:style w:type="character" w:customStyle="1" w:styleId="FootnoteTextChar">
    <w:name w:val="Footnote Text Char"/>
    <w:basedOn w:val="DefaultParagraphFont"/>
    <w:link w:val="FootnoteText"/>
    <w:uiPriority w:val="99"/>
    <w:semiHidden/>
    <w:rsid w:val="00B60579"/>
    <w:rPr>
      <w:rFonts w:ascii="Courier New" w:hAnsi="Courier New" w:cs="Courier New"/>
      <w:sz w:val="20"/>
      <w:szCs w:val="20"/>
    </w:rPr>
  </w:style>
  <w:style w:type="character" w:styleId="FootnoteReference">
    <w:name w:val="footnote reference"/>
    <w:basedOn w:val="DefaultParagraphFont"/>
    <w:uiPriority w:val="99"/>
    <w:rPr>
      <w:vertAlign w:val="superscript"/>
    </w:rPr>
  </w:style>
  <w:style w:type="character" w:customStyle="1" w:styleId="a">
    <w:name w:val="_"/>
    <w:basedOn w:val="DefaultParagraphFont"/>
    <w:uiPriority w:val="99"/>
  </w:style>
  <w:style w:type="paragraph" w:styleId="TOC1">
    <w:name w:val="toc 1"/>
    <w:basedOn w:val="Normal"/>
    <w:next w:val="Normal"/>
    <w:uiPriority w:val="99"/>
    <w:pPr>
      <w:tabs>
        <w:tab w:val="right" w:leader="dot" w:pos="9360"/>
      </w:tabs>
      <w:spacing w:before="480"/>
      <w:ind w:left="720" w:right="720" w:hanging="720"/>
    </w:pPr>
    <w:rPr>
      <w:color w:val="auto"/>
    </w:rPr>
  </w:style>
  <w:style w:type="paragraph" w:styleId="TOC2">
    <w:name w:val="toc 2"/>
    <w:basedOn w:val="Normal"/>
    <w:next w:val="Normal"/>
    <w:uiPriority w:val="99"/>
    <w:pPr>
      <w:tabs>
        <w:tab w:val="right" w:leader="dot" w:pos="9360"/>
      </w:tabs>
      <w:ind w:left="720" w:right="720"/>
    </w:pPr>
    <w:rPr>
      <w:color w:val="auto"/>
    </w:rPr>
  </w:style>
  <w:style w:type="paragraph" w:styleId="TOC3">
    <w:name w:val="toc 3"/>
    <w:basedOn w:val="Normal"/>
    <w:next w:val="Normal"/>
    <w:uiPriority w:val="99"/>
    <w:pPr>
      <w:tabs>
        <w:tab w:val="right" w:leader="dot" w:pos="9360"/>
      </w:tabs>
      <w:ind w:left="720" w:right="720"/>
    </w:pPr>
    <w:rPr>
      <w:color w:val="auto"/>
    </w:rPr>
  </w:style>
  <w:style w:type="paragraph" w:styleId="TOC4">
    <w:name w:val="toc 4"/>
    <w:basedOn w:val="Normal"/>
    <w:next w:val="Normal"/>
    <w:uiPriority w:val="99"/>
    <w:pPr>
      <w:tabs>
        <w:tab w:val="right" w:leader="dot" w:pos="9360"/>
      </w:tabs>
      <w:ind w:left="720" w:right="720"/>
    </w:pPr>
    <w:rPr>
      <w:color w:val="auto"/>
    </w:rPr>
  </w:style>
  <w:style w:type="paragraph" w:styleId="TOC5">
    <w:name w:val="toc 5"/>
    <w:basedOn w:val="Normal"/>
    <w:next w:val="Normal"/>
    <w:uiPriority w:val="99"/>
    <w:pPr>
      <w:tabs>
        <w:tab w:val="right" w:leader="dot" w:pos="9360"/>
      </w:tabs>
      <w:ind w:left="720" w:right="720"/>
    </w:pPr>
    <w:rPr>
      <w:color w:val="auto"/>
    </w:rPr>
  </w:style>
  <w:style w:type="paragraph" w:styleId="TOC6">
    <w:name w:val="toc 6"/>
    <w:basedOn w:val="Normal"/>
    <w:next w:val="Normal"/>
    <w:uiPriority w:val="99"/>
    <w:pPr>
      <w:tabs>
        <w:tab w:val="right" w:pos="9360"/>
      </w:tabs>
      <w:ind w:left="720" w:hanging="720"/>
    </w:pPr>
    <w:rPr>
      <w:color w:val="auto"/>
    </w:rPr>
  </w:style>
  <w:style w:type="paragraph" w:styleId="TOC7">
    <w:name w:val="toc 7"/>
    <w:basedOn w:val="Normal"/>
    <w:next w:val="Normal"/>
    <w:uiPriority w:val="99"/>
    <w:pPr>
      <w:ind w:left="720" w:hanging="720"/>
    </w:pPr>
    <w:rPr>
      <w:color w:val="auto"/>
    </w:rPr>
  </w:style>
  <w:style w:type="paragraph" w:styleId="TOC8">
    <w:name w:val="toc 8"/>
    <w:basedOn w:val="Normal"/>
    <w:next w:val="Normal"/>
    <w:uiPriority w:val="99"/>
    <w:pPr>
      <w:tabs>
        <w:tab w:val="right" w:pos="9360"/>
      </w:tabs>
      <w:ind w:left="720" w:hanging="720"/>
    </w:pPr>
    <w:rPr>
      <w:color w:val="auto"/>
    </w:rPr>
  </w:style>
  <w:style w:type="paragraph" w:styleId="TOC9">
    <w:name w:val="toc 9"/>
    <w:basedOn w:val="Normal"/>
    <w:next w:val="Normal"/>
    <w:uiPriority w:val="99"/>
    <w:pPr>
      <w:tabs>
        <w:tab w:val="right" w:leader="dot" w:pos="9360"/>
      </w:tabs>
      <w:ind w:left="720" w:hanging="720"/>
    </w:pPr>
    <w:rPr>
      <w:color w:val="auto"/>
    </w:rPr>
  </w:style>
  <w:style w:type="paragraph" w:styleId="Index1">
    <w:name w:val="index 1"/>
    <w:basedOn w:val="Normal"/>
    <w:next w:val="Normal"/>
    <w:uiPriority w:val="99"/>
    <w:pPr>
      <w:tabs>
        <w:tab w:val="right" w:leader="dot" w:pos="9360"/>
      </w:tabs>
      <w:ind w:left="720" w:hanging="720"/>
    </w:pPr>
    <w:rPr>
      <w:color w:val="auto"/>
    </w:rPr>
  </w:style>
  <w:style w:type="paragraph" w:styleId="Index2">
    <w:name w:val="index 2"/>
    <w:basedOn w:val="Normal"/>
    <w:next w:val="Normal"/>
    <w:uiPriority w:val="99"/>
    <w:pPr>
      <w:tabs>
        <w:tab w:val="right" w:leader="dot" w:pos="9360"/>
      </w:tabs>
      <w:ind w:left="720"/>
    </w:pPr>
    <w:rPr>
      <w:color w:val="auto"/>
    </w:rPr>
  </w:style>
  <w:style w:type="paragraph" w:styleId="TOAHeading">
    <w:name w:val="toa heading"/>
    <w:basedOn w:val="Normal"/>
    <w:next w:val="Normal"/>
    <w:uiPriority w:val="99"/>
    <w:pPr>
      <w:tabs>
        <w:tab w:val="right" w:pos="9360"/>
      </w:tabs>
    </w:pPr>
    <w:rPr>
      <w:color w:val="auto"/>
    </w:rPr>
  </w:style>
  <w:style w:type="paragraph" w:styleId="Caption">
    <w:name w:val="caption"/>
    <w:basedOn w:val="Normal"/>
    <w:next w:val="Normal"/>
    <w:uiPriority w:val="99"/>
    <w:qFormat/>
    <w:pPr>
      <w:suppressAutoHyphens w:val="0"/>
      <w:spacing w:line="240" w:lineRule="auto"/>
    </w:pPr>
    <w:rPr>
      <w:color w:val="auto"/>
      <w:sz w:val="24"/>
      <w:szCs w:val="24"/>
    </w:rPr>
  </w:style>
  <w:style w:type="character" w:customStyle="1" w:styleId="EquationCaption">
    <w:name w:val="_Equation Caption"/>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70</Pages>
  <Words>16745</Words>
  <Characters>95453</Characters>
  <Application>Microsoft Office Word</Application>
  <DocSecurity>0</DocSecurity>
  <Lines>795</Lines>
  <Paragraphs>223</Paragraphs>
  <ScaleCrop>false</ScaleCrop>
  <Company/>
  <LinksUpToDate>false</LinksUpToDate>
  <CharactersWithSpaces>111975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Cummins, Stacey C</dc:creator>
  <cp:keywords/>
  <dc:description/>
  <cp:lastModifiedBy>Cummins, Stacey C</cp:lastModifiedBy>
  <cp:revision>2</cp:revision>
  <dcterms:created xsi:type="dcterms:W3CDTF">2023-10-03T22:42:00Z</dcterms:created>
  <dcterms:modified xsi:type="dcterms:W3CDTF">2023-10-03T22:42:00Z</dcterms:modified>
</cp:coreProperties>
</file>